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8C6F" w14:textId="77777777" w:rsidR="00815AD8" w:rsidRDefault="00815AD8" w:rsidP="00A5473B">
      <w:pPr>
        <w:jc w:val="center"/>
        <w:rPr>
          <w:b/>
        </w:rPr>
      </w:pPr>
    </w:p>
    <w:p w14:paraId="75256845" w14:textId="77777777" w:rsidR="00815AD8" w:rsidRDefault="00815AD8" w:rsidP="00A5473B">
      <w:pPr>
        <w:jc w:val="center"/>
        <w:rPr>
          <w:b/>
        </w:rPr>
      </w:pPr>
    </w:p>
    <w:p w14:paraId="371E1920" w14:textId="77777777" w:rsidR="00815AD8" w:rsidRDefault="00815AD8" w:rsidP="00A5473B">
      <w:pPr>
        <w:jc w:val="center"/>
        <w:rPr>
          <w:b/>
        </w:rPr>
      </w:pPr>
    </w:p>
    <w:p w14:paraId="18B6B66C" w14:textId="77777777" w:rsidR="00815AD8" w:rsidRDefault="00815AD8" w:rsidP="00A5473B">
      <w:pPr>
        <w:jc w:val="center"/>
        <w:rPr>
          <w:b/>
        </w:rPr>
      </w:pPr>
    </w:p>
    <w:p w14:paraId="3480FFE3" w14:textId="77777777" w:rsidR="00815AD8" w:rsidRDefault="00A5473B" w:rsidP="00815AD8">
      <w:pPr>
        <w:spacing w:after="0"/>
        <w:jc w:val="center"/>
        <w:rPr>
          <w:b/>
          <w:sz w:val="28"/>
          <w:szCs w:val="28"/>
        </w:rPr>
      </w:pPr>
      <w:r w:rsidRPr="00815AD8">
        <w:rPr>
          <w:b/>
          <w:sz w:val="28"/>
          <w:szCs w:val="28"/>
        </w:rPr>
        <w:t>Racial disparities and the role of prescriber networks in the development</w:t>
      </w:r>
    </w:p>
    <w:p w14:paraId="53E57936" w14:textId="77777777" w:rsidR="00815AD8" w:rsidRDefault="00A5473B" w:rsidP="00815AD8">
      <w:pPr>
        <w:spacing w:after="0"/>
        <w:jc w:val="center"/>
        <w:rPr>
          <w:b/>
          <w:sz w:val="28"/>
          <w:szCs w:val="28"/>
        </w:rPr>
      </w:pPr>
      <w:r w:rsidRPr="00815AD8">
        <w:rPr>
          <w:b/>
          <w:sz w:val="28"/>
          <w:szCs w:val="28"/>
        </w:rPr>
        <w:t>and sustaining of buprenorphine prescribing by waivered physicians</w:t>
      </w:r>
    </w:p>
    <w:p w14:paraId="2567ECFA" w14:textId="77777777" w:rsidR="00815AD8" w:rsidRDefault="00A5473B" w:rsidP="00815AD8">
      <w:pPr>
        <w:jc w:val="center"/>
        <w:rPr>
          <w:b/>
          <w:sz w:val="28"/>
          <w:szCs w:val="28"/>
        </w:rPr>
      </w:pPr>
      <w:r w:rsidRPr="00815AD8">
        <w:rPr>
          <w:b/>
          <w:sz w:val="28"/>
          <w:szCs w:val="28"/>
        </w:rPr>
        <w:t>for OUD treatment in Massachusetts communities</w:t>
      </w:r>
    </w:p>
    <w:p w14:paraId="1EFAFCED" w14:textId="77777777" w:rsidR="00815AD8" w:rsidRDefault="00815AD8" w:rsidP="00815AD8">
      <w:pPr>
        <w:jc w:val="center"/>
        <w:rPr>
          <w:b/>
          <w:sz w:val="28"/>
          <w:szCs w:val="28"/>
        </w:rPr>
      </w:pPr>
    </w:p>
    <w:p w14:paraId="1DC5DC3A" w14:textId="77777777" w:rsidR="00815AD8" w:rsidRDefault="00815AD8" w:rsidP="00815AD8">
      <w:pPr>
        <w:jc w:val="center"/>
        <w:rPr>
          <w:b/>
          <w:sz w:val="28"/>
          <w:szCs w:val="28"/>
        </w:rPr>
      </w:pPr>
    </w:p>
    <w:p w14:paraId="4A9E6587" w14:textId="77777777" w:rsidR="00815AD8" w:rsidRDefault="00815AD8" w:rsidP="00815AD8">
      <w:pPr>
        <w:spacing w:after="0"/>
        <w:jc w:val="center"/>
        <w:rPr>
          <w:b/>
          <w:sz w:val="28"/>
          <w:szCs w:val="28"/>
        </w:rPr>
      </w:pPr>
      <w:r>
        <w:rPr>
          <w:b/>
          <w:sz w:val="28"/>
          <w:szCs w:val="28"/>
        </w:rPr>
        <w:t>Final Project Report</w:t>
      </w:r>
    </w:p>
    <w:p w14:paraId="39A9B852" w14:textId="77777777" w:rsidR="00815AD8" w:rsidRDefault="00815AD8" w:rsidP="00815AD8">
      <w:pPr>
        <w:spacing w:after="0"/>
        <w:jc w:val="center"/>
        <w:rPr>
          <w:b/>
          <w:sz w:val="28"/>
          <w:szCs w:val="28"/>
        </w:rPr>
      </w:pPr>
      <w:r>
        <w:rPr>
          <w:b/>
          <w:sz w:val="28"/>
          <w:szCs w:val="28"/>
        </w:rPr>
        <w:t>June 15, 2021</w:t>
      </w:r>
    </w:p>
    <w:p w14:paraId="3F10F82F" w14:textId="77777777" w:rsidR="00815AD8" w:rsidRDefault="00815AD8" w:rsidP="00815AD8">
      <w:pPr>
        <w:spacing w:after="0"/>
        <w:jc w:val="center"/>
        <w:rPr>
          <w:b/>
          <w:sz w:val="28"/>
          <w:szCs w:val="28"/>
        </w:rPr>
      </w:pPr>
    </w:p>
    <w:p w14:paraId="090DE71D" w14:textId="77777777" w:rsidR="00815AD8" w:rsidRDefault="00815AD8" w:rsidP="00815AD8">
      <w:pPr>
        <w:spacing w:after="0"/>
        <w:ind w:left="2160" w:firstLine="720"/>
        <w:jc w:val="center"/>
        <w:rPr>
          <w:b/>
          <w:sz w:val="28"/>
          <w:szCs w:val="28"/>
        </w:rPr>
      </w:pPr>
    </w:p>
    <w:p w14:paraId="7567F44F" w14:textId="77777777" w:rsidR="00815AD8" w:rsidRDefault="00815AD8" w:rsidP="00815AD8">
      <w:pPr>
        <w:spacing w:after="0"/>
        <w:ind w:left="2160" w:firstLine="720"/>
        <w:rPr>
          <w:b/>
          <w:sz w:val="28"/>
          <w:szCs w:val="28"/>
        </w:rPr>
      </w:pPr>
      <w:r>
        <w:rPr>
          <w:b/>
          <w:sz w:val="28"/>
          <w:szCs w:val="28"/>
        </w:rPr>
        <w:t>The RIZE Massachusetts Foundation</w:t>
      </w:r>
    </w:p>
    <w:p w14:paraId="3014846B" w14:textId="77777777" w:rsidR="00815AD8" w:rsidRDefault="00815AD8" w:rsidP="00815AD8">
      <w:pPr>
        <w:ind w:firstLine="720"/>
        <w:jc w:val="center"/>
        <w:rPr>
          <w:b/>
          <w:sz w:val="28"/>
          <w:szCs w:val="28"/>
        </w:rPr>
      </w:pPr>
      <w:r>
        <w:rPr>
          <w:b/>
          <w:sz w:val="28"/>
          <w:szCs w:val="28"/>
        </w:rPr>
        <w:t>Insights and Solutions Initiative</w:t>
      </w:r>
    </w:p>
    <w:p w14:paraId="1E28D151" w14:textId="77777777" w:rsidR="00815AD8" w:rsidRDefault="00815AD8" w:rsidP="00815AD8">
      <w:pPr>
        <w:ind w:firstLine="720"/>
        <w:jc w:val="center"/>
        <w:rPr>
          <w:b/>
          <w:sz w:val="28"/>
          <w:szCs w:val="28"/>
        </w:rPr>
      </w:pPr>
    </w:p>
    <w:p w14:paraId="1EF2DF1A" w14:textId="77777777" w:rsidR="00815AD8" w:rsidRDefault="00815AD8" w:rsidP="00815AD8">
      <w:pPr>
        <w:ind w:firstLine="720"/>
        <w:jc w:val="center"/>
        <w:rPr>
          <w:b/>
          <w:sz w:val="28"/>
          <w:szCs w:val="28"/>
        </w:rPr>
      </w:pPr>
    </w:p>
    <w:p w14:paraId="6665B7A4" w14:textId="77777777" w:rsidR="00815AD8" w:rsidRDefault="00815AD8" w:rsidP="00815AD8">
      <w:pPr>
        <w:spacing w:after="0"/>
        <w:ind w:firstLine="720"/>
        <w:jc w:val="center"/>
        <w:rPr>
          <w:b/>
          <w:sz w:val="28"/>
          <w:szCs w:val="28"/>
        </w:rPr>
      </w:pPr>
      <w:r>
        <w:rPr>
          <w:b/>
          <w:sz w:val="28"/>
          <w:szCs w:val="28"/>
        </w:rPr>
        <w:t xml:space="preserve">Peter </w:t>
      </w:r>
      <w:proofErr w:type="spellStart"/>
      <w:r>
        <w:rPr>
          <w:b/>
          <w:sz w:val="28"/>
          <w:szCs w:val="28"/>
        </w:rPr>
        <w:t>Kreiner</w:t>
      </w:r>
      <w:proofErr w:type="spellEnd"/>
      <w:r>
        <w:rPr>
          <w:b/>
          <w:sz w:val="28"/>
          <w:szCs w:val="28"/>
        </w:rPr>
        <w:t>, PhD</w:t>
      </w:r>
    </w:p>
    <w:p w14:paraId="67430E8E" w14:textId="77777777" w:rsidR="00815AD8" w:rsidRDefault="00815AD8" w:rsidP="00815AD8">
      <w:pPr>
        <w:spacing w:after="0"/>
        <w:ind w:firstLine="720"/>
        <w:jc w:val="center"/>
        <w:rPr>
          <w:b/>
          <w:sz w:val="28"/>
          <w:szCs w:val="28"/>
        </w:rPr>
      </w:pPr>
      <w:r>
        <w:rPr>
          <w:b/>
          <w:sz w:val="28"/>
          <w:szCs w:val="28"/>
        </w:rPr>
        <w:t>Cindy Thomas, PhD</w:t>
      </w:r>
    </w:p>
    <w:p w14:paraId="129240B8" w14:textId="77777777" w:rsidR="00815AD8" w:rsidRDefault="00815AD8" w:rsidP="00815AD8">
      <w:pPr>
        <w:spacing w:after="0"/>
        <w:ind w:firstLine="720"/>
        <w:jc w:val="center"/>
        <w:rPr>
          <w:b/>
          <w:sz w:val="28"/>
          <w:szCs w:val="28"/>
        </w:rPr>
      </w:pPr>
      <w:r>
        <w:rPr>
          <w:b/>
          <w:sz w:val="28"/>
          <w:szCs w:val="28"/>
        </w:rPr>
        <w:t xml:space="preserve">Lee </w:t>
      </w:r>
      <w:proofErr w:type="spellStart"/>
      <w:r>
        <w:rPr>
          <w:b/>
          <w:sz w:val="28"/>
          <w:szCs w:val="28"/>
        </w:rPr>
        <w:t>Panas</w:t>
      </w:r>
      <w:proofErr w:type="spellEnd"/>
      <w:r>
        <w:rPr>
          <w:b/>
          <w:sz w:val="28"/>
          <w:szCs w:val="28"/>
        </w:rPr>
        <w:t>, MS</w:t>
      </w:r>
    </w:p>
    <w:p w14:paraId="0FC9923D" w14:textId="77777777" w:rsidR="00815AD8" w:rsidRDefault="00815AD8" w:rsidP="00815AD8">
      <w:pPr>
        <w:spacing w:after="0"/>
        <w:ind w:firstLine="720"/>
        <w:jc w:val="center"/>
        <w:rPr>
          <w:b/>
          <w:sz w:val="28"/>
          <w:szCs w:val="28"/>
        </w:rPr>
      </w:pPr>
      <w:r>
        <w:rPr>
          <w:b/>
          <w:sz w:val="28"/>
          <w:szCs w:val="28"/>
        </w:rPr>
        <w:t xml:space="preserve">Robert </w:t>
      </w:r>
      <w:proofErr w:type="spellStart"/>
      <w:r>
        <w:rPr>
          <w:b/>
          <w:sz w:val="28"/>
          <w:szCs w:val="28"/>
        </w:rPr>
        <w:t>Dunigan</w:t>
      </w:r>
      <w:proofErr w:type="spellEnd"/>
      <w:r>
        <w:rPr>
          <w:b/>
          <w:sz w:val="28"/>
          <w:szCs w:val="28"/>
        </w:rPr>
        <w:t>, PhD</w:t>
      </w:r>
    </w:p>
    <w:p w14:paraId="42FBD4E6" w14:textId="77777777" w:rsidR="00815AD8" w:rsidRDefault="00815AD8" w:rsidP="00815AD8">
      <w:pPr>
        <w:spacing w:after="0"/>
        <w:ind w:firstLine="720"/>
        <w:jc w:val="center"/>
        <w:rPr>
          <w:b/>
          <w:sz w:val="28"/>
          <w:szCs w:val="28"/>
        </w:rPr>
      </w:pPr>
    </w:p>
    <w:p w14:paraId="522351DF" w14:textId="77777777" w:rsidR="00815AD8" w:rsidRDefault="00815AD8" w:rsidP="00815AD8">
      <w:pPr>
        <w:spacing w:after="0"/>
        <w:ind w:firstLine="720"/>
        <w:jc w:val="center"/>
        <w:rPr>
          <w:b/>
          <w:sz w:val="28"/>
          <w:szCs w:val="28"/>
        </w:rPr>
      </w:pPr>
      <w:r>
        <w:rPr>
          <w:b/>
          <w:sz w:val="28"/>
          <w:szCs w:val="28"/>
        </w:rPr>
        <w:t>Brandeis University</w:t>
      </w:r>
    </w:p>
    <w:p w14:paraId="3008BB71" w14:textId="77777777" w:rsidR="00815AD8" w:rsidRDefault="00815AD8" w:rsidP="00815AD8">
      <w:pPr>
        <w:spacing w:after="0"/>
        <w:ind w:firstLine="720"/>
        <w:jc w:val="center"/>
        <w:rPr>
          <w:b/>
          <w:sz w:val="28"/>
          <w:szCs w:val="28"/>
        </w:rPr>
      </w:pPr>
      <w:r>
        <w:rPr>
          <w:b/>
          <w:sz w:val="28"/>
          <w:szCs w:val="28"/>
        </w:rPr>
        <w:t>Institute for Behavioral Health</w:t>
      </w:r>
    </w:p>
    <w:p w14:paraId="5A0BB950" w14:textId="77777777" w:rsidR="00815AD8" w:rsidRDefault="00815AD8">
      <w:pPr>
        <w:rPr>
          <w:b/>
          <w:sz w:val="28"/>
          <w:szCs w:val="28"/>
        </w:rPr>
      </w:pPr>
      <w:r>
        <w:rPr>
          <w:b/>
          <w:sz w:val="28"/>
          <w:szCs w:val="28"/>
        </w:rPr>
        <w:br w:type="page"/>
      </w:r>
    </w:p>
    <w:p w14:paraId="0ED1150C" w14:textId="77777777" w:rsidR="00815AD8" w:rsidRDefault="00815AD8" w:rsidP="00815AD8">
      <w:pPr>
        <w:ind w:firstLine="720"/>
        <w:jc w:val="center"/>
        <w:rPr>
          <w:b/>
          <w:sz w:val="28"/>
          <w:szCs w:val="28"/>
        </w:rPr>
      </w:pPr>
      <w:r>
        <w:rPr>
          <w:b/>
          <w:sz w:val="28"/>
          <w:szCs w:val="28"/>
        </w:rPr>
        <w:lastRenderedPageBreak/>
        <w:t>Table of Contents</w:t>
      </w:r>
    </w:p>
    <w:p w14:paraId="06211ED1" w14:textId="77777777" w:rsidR="00815AD8" w:rsidRDefault="00815AD8" w:rsidP="00815AD8">
      <w:pPr>
        <w:ind w:firstLine="720"/>
        <w:rPr>
          <w:b/>
          <w:sz w:val="28"/>
          <w:szCs w:val="28"/>
        </w:rPr>
      </w:pPr>
    </w:p>
    <w:p w14:paraId="3FA7E6E8" w14:textId="77777777" w:rsidR="001E37B7" w:rsidRPr="001E37B7" w:rsidRDefault="001E37B7" w:rsidP="00900927">
      <w:pPr>
        <w:pStyle w:val="ListParagraph"/>
        <w:rPr>
          <w:b/>
          <w:sz w:val="24"/>
          <w:szCs w:val="24"/>
        </w:rPr>
      </w:pPr>
      <w:r w:rsidRPr="001E37B7">
        <w:rPr>
          <w:b/>
          <w:sz w:val="24"/>
          <w:szCs w:val="24"/>
        </w:rPr>
        <w:t>Executive Summary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3 - 8</w:t>
      </w:r>
    </w:p>
    <w:p w14:paraId="275227DA" w14:textId="77777777" w:rsidR="00900927" w:rsidRDefault="00900927" w:rsidP="00900927">
      <w:pPr>
        <w:pStyle w:val="ListParagraph"/>
        <w:spacing w:before="200"/>
        <w:rPr>
          <w:b/>
          <w:sz w:val="24"/>
          <w:szCs w:val="24"/>
        </w:rPr>
      </w:pPr>
    </w:p>
    <w:p w14:paraId="15CF9A4F" w14:textId="77777777" w:rsidR="001E37B7" w:rsidRPr="001E37B7" w:rsidRDefault="001E37B7" w:rsidP="00900927">
      <w:pPr>
        <w:pStyle w:val="ListParagraph"/>
        <w:numPr>
          <w:ilvl w:val="0"/>
          <w:numId w:val="12"/>
        </w:numPr>
        <w:spacing w:before="200"/>
        <w:rPr>
          <w:b/>
          <w:sz w:val="24"/>
          <w:szCs w:val="24"/>
        </w:rPr>
      </w:pPr>
      <w:r w:rsidRPr="001E37B7">
        <w:rPr>
          <w:b/>
          <w:sz w:val="24"/>
          <w:szCs w:val="24"/>
        </w:rPr>
        <w:t>Introduction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9 - 10</w:t>
      </w:r>
    </w:p>
    <w:p w14:paraId="585F8072" w14:textId="77777777" w:rsidR="00900927" w:rsidRDefault="00900927" w:rsidP="00900927">
      <w:pPr>
        <w:pStyle w:val="ListParagraph"/>
        <w:rPr>
          <w:b/>
          <w:sz w:val="24"/>
          <w:szCs w:val="24"/>
        </w:rPr>
      </w:pPr>
    </w:p>
    <w:p w14:paraId="62CF74A5" w14:textId="77777777" w:rsidR="001E37B7" w:rsidRDefault="001E37B7" w:rsidP="001E37B7">
      <w:pPr>
        <w:pStyle w:val="ListParagraph"/>
        <w:numPr>
          <w:ilvl w:val="0"/>
          <w:numId w:val="12"/>
        </w:numPr>
        <w:rPr>
          <w:b/>
          <w:sz w:val="24"/>
          <w:szCs w:val="24"/>
        </w:rPr>
      </w:pPr>
      <w:r w:rsidRPr="001E37B7">
        <w:rPr>
          <w:b/>
          <w:sz w:val="24"/>
          <w:szCs w:val="24"/>
        </w:rPr>
        <w:t xml:space="preserve">To what extent does access to buprenorphine </w:t>
      </w:r>
    </w:p>
    <w:p w14:paraId="4BBAD8F9" w14:textId="77777777" w:rsidR="001E37B7" w:rsidRDefault="001E37B7" w:rsidP="001E37B7">
      <w:pPr>
        <w:pStyle w:val="ListParagraph"/>
        <w:rPr>
          <w:b/>
          <w:sz w:val="24"/>
          <w:szCs w:val="24"/>
        </w:rPr>
      </w:pPr>
      <w:r w:rsidRPr="001E37B7">
        <w:rPr>
          <w:b/>
          <w:sz w:val="24"/>
          <w:szCs w:val="24"/>
        </w:rPr>
        <w:t xml:space="preserve">treatment for OUD vary geographically by the race </w:t>
      </w:r>
    </w:p>
    <w:p w14:paraId="5A22AC09" w14:textId="77777777" w:rsidR="00A203EC" w:rsidRDefault="001E37B7" w:rsidP="001E37B7">
      <w:pPr>
        <w:pStyle w:val="ListParagraph"/>
        <w:rPr>
          <w:b/>
          <w:sz w:val="24"/>
          <w:szCs w:val="24"/>
        </w:rPr>
      </w:pPr>
      <w:r w:rsidRPr="001E37B7">
        <w:rPr>
          <w:b/>
          <w:sz w:val="24"/>
          <w:szCs w:val="24"/>
        </w:rPr>
        <w:t>and ethnicity of residents?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10 - 18</w:t>
      </w:r>
      <w:r>
        <w:rPr>
          <w:b/>
          <w:sz w:val="24"/>
          <w:szCs w:val="24"/>
        </w:rPr>
        <w:tab/>
      </w:r>
    </w:p>
    <w:p w14:paraId="7F2EBE77" w14:textId="77777777" w:rsidR="00A203EC" w:rsidRDefault="00A203EC" w:rsidP="00704555">
      <w:pPr>
        <w:pStyle w:val="ListParagraph"/>
        <w:ind w:firstLine="360"/>
        <w:rPr>
          <w:sz w:val="24"/>
          <w:szCs w:val="24"/>
        </w:rPr>
      </w:pPr>
      <w:r w:rsidRPr="00A203EC">
        <w:rPr>
          <w:sz w:val="24"/>
          <w:szCs w:val="24"/>
        </w:rPr>
        <w:t>Methods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14:paraId="3F4DDC55" w14:textId="77777777" w:rsidR="00A203EC" w:rsidRPr="00A203EC" w:rsidRDefault="00A203EC" w:rsidP="00704555">
      <w:pPr>
        <w:pStyle w:val="ListParagraph"/>
        <w:ind w:firstLine="360"/>
        <w:rPr>
          <w:sz w:val="24"/>
          <w:szCs w:val="24"/>
        </w:rPr>
      </w:pPr>
      <w:r>
        <w:rPr>
          <w:sz w:val="24"/>
          <w:szCs w:val="24"/>
        </w:rPr>
        <w:t>R</w:t>
      </w:r>
      <w:r w:rsidRPr="00A203EC">
        <w:rPr>
          <w:sz w:val="24"/>
          <w:szCs w:val="24"/>
        </w:rPr>
        <w:t>esults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11 - 18</w:t>
      </w:r>
    </w:p>
    <w:p w14:paraId="290A8185" w14:textId="77777777" w:rsidR="001E37B7" w:rsidRPr="001E37B7" w:rsidRDefault="001E37B7" w:rsidP="001E37B7">
      <w:pPr>
        <w:pStyle w:val="ListParagraph"/>
        <w:rPr>
          <w:b/>
          <w:sz w:val="24"/>
          <w:szCs w:val="24"/>
        </w:rPr>
      </w:pPr>
      <w:r>
        <w:rPr>
          <w:b/>
          <w:sz w:val="24"/>
          <w:szCs w:val="24"/>
        </w:rPr>
        <w:tab/>
        <w:t xml:space="preserve">        </w:t>
      </w:r>
    </w:p>
    <w:p w14:paraId="1317A096" w14:textId="77777777" w:rsidR="00900927" w:rsidRDefault="001E37B7" w:rsidP="001E37B7">
      <w:pPr>
        <w:pStyle w:val="ListParagraph"/>
        <w:numPr>
          <w:ilvl w:val="0"/>
          <w:numId w:val="12"/>
        </w:numPr>
        <w:rPr>
          <w:b/>
          <w:sz w:val="24"/>
          <w:szCs w:val="24"/>
        </w:rPr>
      </w:pPr>
      <w:r w:rsidRPr="001E37B7">
        <w:rPr>
          <w:b/>
          <w:sz w:val="24"/>
          <w:szCs w:val="24"/>
        </w:rPr>
        <w:t xml:space="preserve">How do properties of waivered prescriber patient-sharing </w:t>
      </w:r>
    </w:p>
    <w:p w14:paraId="0C786918" w14:textId="77777777" w:rsidR="00900927" w:rsidRDefault="001E37B7" w:rsidP="00900927">
      <w:pPr>
        <w:pStyle w:val="ListParagraph"/>
        <w:rPr>
          <w:b/>
          <w:sz w:val="24"/>
          <w:szCs w:val="24"/>
        </w:rPr>
      </w:pPr>
      <w:r w:rsidRPr="001E37B7">
        <w:rPr>
          <w:b/>
          <w:sz w:val="24"/>
          <w:szCs w:val="24"/>
        </w:rPr>
        <w:t xml:space="preserve">networks, thought to reflect prescriber access to peer </w:t>
      </w:r>
    </w:p>
    <w:p w14:paraId="026485F4" w14:textId="77777777" w:rsidR="00900927" w:rsidRDefault="001E37B7" w:rsidP="00900927">
      <w:pPr>
        <w:pStyle w:val="ListParagraph"/>
        <w:rPr>
          <w:b/>
          <w:sz w:val="24"/>
          <w:szCs w:val="24"/>
        </w:rPr>
      </w:pPr>
      <w:r w:rsidRPr="001E37B7">
        <w:rPr>
          <w:b/>
          <w:sz w:val="24"/>
          <w:szCs w:val="24"/>
        </w:rPr>
        <w:t xml:space="preserve">information, support, and resources, vary in relation to </w:t>
      </w:r>
    </w:p>
    <w:p w14:paraId="65739903" w14:textId="77777777" w:rsidR="001E37B7" w:rsidRDefault="001E37B7" w:rsidP="00900927">
      <w:pPr>
        <w:pStyle w:val="ListParagraph"/>
        <w:rPr>
          <w:b/>
          <w:sz w:val="24"/>
          <w:szCs w:val="24"/>
        </w:rPr>
      </w:pPr>
      <w:r w:rsidRPr="001E37B7">
        <w:rPr>
          <w:b/>
          <w:sz w:val="24"/>
          <w:szCs w:val="24"/>
        </w:rPr>
        <w:t>community race and ethnicity?</w:t>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t xml:space="preserve">19 </w:t>
      </w:r>
      <w:r w:rsidR="00A203EC">
        <w:rPr>
          <w:b/>
          <w:sz w:val="24"/>
          <w:szCs w:val="24"/>
        </w:rPr>
        <w:t>–</w:t>
      </w:r>
      <w:r w:rsidR="00900927">
        <w:rPr>
          <w:b/>
          <w:sz w:val="24"/>
          <w:szCs w:val="24"/>
        </w:rPr>
        <w:t xml:space="preserve"> 27</w:t>
      </w:r>
    </w:p>
    <w:p w14:paraId="1EC1EADA" w14:textId="77777777" w:rsidR="00A203EC" w:rsidRPr="00A203EC" w:rsidRDefault="00A203EC" w:rsidP="00704555">
      <w:pPr>
        <w:pStyle w:val="ListParagraph"/>
        <w:ind w:firstLine="360"/>
        <w:rPr>
          <w:sz w:val="24"/>
          <w:szCs w:val="24"/>
        </w:rPr>
      </w:pPr>
      <w:r w:rsidRPr="00A203EC">
        <w:rPr>
          <w:sz w:val="24"/>
          <w:szCs w:val="24"/>
        </w:rPr>
        <w:t>Methods</w:t>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t>19 - 22</w:t>
      </w:r>
    </w:p>
    <w:p w14:paraId="105B60C0" w14:textId="77777777" w:rsidR="00A203EC" w:rsidRPr="00A203EC" w:rsidRDefault="00A203EC" w:rsidP="00704555">
      <w:pPr>
        <w:pStyle w:val="ListParagraph"/>
        <w:ind w:firstLine="360"/>
        <w:rPr>
          <w:sz w:val="24"/>
          <w:szCs w:val="24"/>
        </w:rPr>
      </w:pPr>
      <w:r w:rsidRPr="00A203EC">
        <w:rPr>
          <w:sz w:val="24"/>
          <w:szCs w:val="24"/>
        </w:rPr>
        <w:t>Results</w:t>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r>
      <w:r w:rsidR="001C0B0B">
        <w:rPr>
          <w:sz w:val="24"/>
          <w:szCs w:val="24"/>
        </w:rPr>
        <w:tab/>
        <w:t>22 - 27</w:t>
      </w:r>
    </w:p>
    <w:p w14:paraId="1C9B5808" w14:textId="77777777" w:rsidR="00900927" w:rsidRDefault="00900927" w:rsidP="00900927">
      <w:pPr>
        <w:pStyle w:val="ListParagraph"/>
        <w:tabs>
          <w:tab w:val="left" w:pos="900"/>
        </w:tabs>
        <w:rPr>
          <w:b/>
          <w:sz w:val="24"/>
          <w:szCs w:val="24"/>
        </w:rPr>
      </w:pPr>
    </w:p>
    <w:p w14:paraId="0E8CD9D1" w14:textId="77777777" w:rsidR="00900927" w:rsidRDefault="001E37B7" w:rsidP="001E37B7">
      <w:pPr>
        <w:pStyle w:val="ListParagraph"/>
        <w:numPr>
          <w:ilvl w:val="0"/>
          <w:numId w:val="12"/>
        </w:numPr>
        <w:tabs>
          <w:tab w:val="left" w:pos="900"/>
        </w:tabs>
        <w:rPr>
          <w:b/>
          <w:sz w:val="24"/>
          <w:szCs w:val="24"/>
        </w:rPr>
      </w:pPr>
      <w:r w:rsidRPr="001E37B7">
        <w:rPr>
          <w:b/>
          <w:sz w:val="24"/>
          <w:szCs w:val="24"/>
        </w:rPr>
        <w:t xml:space="preserve">Do patient-sharing network ties among buprenorphine </w:t>
      </w:r>
    </w:p>
    <w:p w14:paraId="4C8CCF29" w14:textId="77777777" w:rsidR="00900927" w:rsidRDefault="001E37B7" w:rsidP="00900927">
      <w:pPr>
        <w:pStyle w:val="ListParagraph"/>
        <w:tabs>
          <w:tab w:val="left" w:pos="900"/>
        </w:tabs>
        <w:rPr>
          <w:b/>
          <w:sz w:val="24"/>
          <w:szCs w:val="24"/>
        </w:rPr>
      </w:pPr>
      <w:r w:rsidRPr="001E37B7">
        <w:rPr>
          <w:b/>
          <w:sz w:val="24"/>
          <w:szCs w:val="24"/>
        </w:rPr>
        <w:t>prescribers facilitate prescribers becoming waivered initially,</w:t>
      </w:r>
    </w:p>
    <w:p w14:paraId="50F4467D" w14:textId="77777777" w:rsidR="00900927" w:rsidRDefault="001E37B7" w:rsidP="00900927">
      <w:pPr>
        <w:pStyle w:val="ListParagraph"/>
        <w:tabs>
          <w:tab w:val="left" w:pos="900"/>
        </w:tabs>
        <w:rPr>
          <w:b/>
          <w:sz w:val="24"/>
          <w:szCs w:val="24"/>
        </w:rPr>
      </w:pPr>
      <w:r w:rsidRPr="001E37B7">
        <w:rPr>
          <w:b/>
          <w:sz w:val="24"/>
          <w:szCs w:val="24"/>
        </w:rPr>
        <w:t xml:space="preserve">increasing their patient limits, and/or their provision of </w:t>
      </w:r>
    </w:p>
    <w:p w14:paraId="46410725" w14:textId="77777777" w:rsidR="00900927" w:rsidRDefault="001E37B7" w:rsidP="00900927">
      <w:pPr>
        <w:pStyle w:val="ListParagraph"/>
        <w:tabs>
          <w:tab w:val="left" w:pos="900"/>
        </w:tabs>
        <w:rPr>
          <w:b/>
          <w:sz w:val="24"/>
          <w:szCs w:val="24"/>
        </w:rPr>
      </w:pPr>
      <w:r w:rsidRPr="001E37B7">
        <w:rPr>
          <w:b/>
          <w:sz w:val="24"/>
          <w:szCs w:val="24"/>
        </w:rPr>
        <w:t xml:space="preserve">buprenorphine treatment (i.e., treatment duration, </w:t>
      </w:r>
    </w:p>
    <w:p w14:paraId="47BBF932" w14:textId="77777777" w:rsidR="001E37B7" w:rsidRDefault="001E37B7" w:rsidP="00A203EC">
      <w:pPr>
        <w:pStyle w:val="ListParagraph"/>
        <w:tabs>
          <w:tab w:val="left" w:pos="900"/>
        </w:tabs>
        <w:rPr>
          <w:b/>
          <w:sz w:val="24"/>
          <w:szCs w:val="24"/>
        </w:rPr>
      </w:pPr>
      <w:r w:rsidRPr="001E37B7">
        <w:rPr>
          <w:b/>
          <w:sz w:val="24"/>
          <w:szCs w:val="24"/>
        </w:rPr>
        <w:t>number of active patients)?</w:t>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t xml:space="preserve">28 </w:t>
      </w:r>
      <w:r w:rsidR="00A203EC">
        <w:rPr>
          <w:b/>
          <w:sz w:val="24"/>
          <w:szCs w:val="24"/>
        </w:rPr>
        <w:t>–</w:t>
      </w:r>
      <w:r w:rsidR="00900927">
        <w:rPr>
          <w:b/>
          <w:sz w:val="24"/>
          <w:szCs w:val="24"/>
        </w:rPr>
        <w:t xml:space="preserve"> 45</w:t>
      </w:r>
    </w:p>
    <w:p w14:paraId="1153DC71" w14:textId="77777777" w:rsidR="00A203EC" w:rsidRPr="00A203EC" w:rsidRDefault="00A203EC" w:rsidP="00A203EC">
      <w:pPr>
        <w:pStyle w:val="ListParagraph"/>
        <w:numPr>
          <w:ilvl w:val="0"/>
          <w:numId w:val="13"/>
        </w:numPr>
        <w:tabs>
          <w:tab w:val="left" w:pos="900"/>
        </w:tabs>
        <w:rPr>
          <w:sz w:val="24"/>
          <w:szCs w:val="24"/>
        </w:rPr>
      </w:pPr>
      <w:r w:rsidRPr="00A203EC">
        <w:rPr>
          <w:sz w:val="24"/>
          <w:szCs w:val="24"/>
        </w:rPr>
        <w:t>Initially becoming waivered</w:t>
      </w:r>
      <w:r w:rsidRPr="00A203EC">
        <w:rPr>
          <w:sz w:val="24"/>
          <w:szCs w:val="24"/>
        </w:rPr>
        <w:tab/>
      </w:r>
      <w:r w:rsidRPr="00A203EC">
        <w:rPr>
          <w:sz w:val="24"/>
          <w:szCs w:val="24"/>
        </w:rPr>
        <w:tab/>
      </w:r>
      <w:r w:rsidRPr="00A203EC">
        <w:rPr>
          <w:sz w:val="24"/>
          <w:szCs w:val="24"/>
        </w:rPr>
        <w:tab/>
      </w:r>
      <w:r w:rsidRPr="00A203EC">
        <w:rPr>
          <w:sz w:val="24"/>
          <w:szCs w:val="24"/>
        </w:rPr>
        <w:tab/>
      </w:r>
      <w:r w:rsidRPr="00A203EC">
        <w:rPr>
          <w:sz w:val="24"/>
          <w:szCs w:val="24"/>
        </w:rPr>
        <w:tab/>
        <w:t xml:space="preserve">30 </w:t>
      </w:r>
      <w:r w:rsidR="00487011">
        <w:rPr>
          <w:sz w:val="24"/>
          <w:szCs w:val="24"/>
        </w:rPr>
        <w:t>- 33</w:t>
      </w:r>
      <w:r w:rsidRPr="00A203EC">
        <w:rPr>
          <w:sz w:val="24"/>
          <w:szCs w:val="24"/>
        </w:rPr>
        <w:t xml:space="preserve"> </w:t>
      </w:r>
    </w:p>
    <w:p w14:paraId="593C9665" w14:textId="77777777" w:rsidR="00A203EC" w:rsidRPr="00A203EC" w:rsidRDefault="00A203EC" w:rsidP="00A203EC">
      <w:pPr>
        <w:pStyle w:val="ListParagraph"/>
        <w:numPr>
          <w:ilvl w:val="0"/>
          <w:numId w:val="13"/>
        </w:numPr>
        <w:tabs>
          <w:tab w:val="left" w:pos="900"/>
        </w:tabs>
        <w:rPr>
          <w:sz w:val="24"/>
          <w:szCs w:val="24"/>
        </w:rPr>
      </w:pPr>
      <w:r w:rsidRPr="00A203EC">
        <w:rPr>
          <w:sz w:val="24"/>
          <w:szCs w:val="24"/>
        </w:rPr>
        <w:t>Becoming waivered for 100 patients</w:t>
      </w:r>
      <w:r w:rsidR="00487011">
        <w:rPr>
          <w:sz w:val="24"/>
          <w:szCs w:val="24"/>
        </w:rPr>
        <w:tab/>
      </w:r>
      <w:r w:rsidR="00487011">
        <w:rPr>
          <w:sz w:val="24"/>
          <w:szCs w:val="24"/>
        </w:rPr>
        <w:tab/>
      </w:r>
      <w:r w:rsidR="00487011">
        <w:rPr>
          <w:sz w:val="24"/>
          <w:szCs w:val="24"/>
        </w:rPr>
        <w:tab/>
      </w:r>
      <w:r w:rsidR="00487011">
        <w:rPr>
          <w:sz w:val="24"/>
          <w:szCs w:val="24"/>
        </w:rPr>
        <w:tab/>
        <w:t>33 - 36</w:t>
      </w:r>
    </w:p>
    <w:p w14:paraId="04627524" w14:textId="77777777" w:rsidR="00A203EC" w:rsidRPr="00A203EC" w:rsidRDefault="00A203EC" w:rsidP="00A203EC">
      <w:pPr>
        <w:pStyle w:val="ListParagraph"/>
        <w:numPr>
          <w:ilvl w:val="0"/>
          <w:numId w:val="13"/>
        </w:numPr>
        <w:tabs>
          <w:tab w:val="left" w:pos="900"/>
        </w:tabs>
        <w:rPr>
          <w:sz w:val="24"/>
          <w:szCs w:val="24"/>
        </w:rPr>
      </w:pPr>
      <w:r w:rsidRPr="00A203EC">
        <w:rPr>
          <w:sz w:val="24"/>
          <w:szCs w:val="24"/>
        </w:rPr>
        <w:t>Becoming waivered for 275 patients</w:t>
      </w:r>
      <w:r w:rsidR="00487011">
        <w:rPr>
          <w:sz w:val="24"/>
          <w:szCs w:val="24"/>
        </w:rPr>
        <w:tab/>
      </w:r>
      <w:r w:rsidR="00487011">
        <w:rPr>
          <w:sz w:val="24"/>
          <w:szCs w:val="24"/>
        </w:rPr>
        <w:tab/>
      </w:r>
      <w:r w:rsidR="00487011">
        <w:rPr>
          <w:sz w:val="24"/>
          <w:szCs w:val="24"/>
        </w:rPr>
        <w:tab/>
      </w:r>
      <w:r w:rsidR="00487011">
        <w:rPr>
          <w:sz w:val="24"/>
          <w:szCs w:val="24"/>
        </w:rPr>
        <w:tab/>
        <w:t>37 - 42</w:t>
      </w:r>
    </w:p>
    <w:p w14:paraId="50348E64" w14:textId="77777777" w:rsidR="00A203EC" w:rsidRPr="00A203EC" w:rsidRDefault="00A203EC" w:rsidP="00A203EC">
      <w:pPr>
        <w:pStyle w:val="ListParagraph"/>
        <w:numPr>
          <w:ilvl w:val="0"/>
          <w:numId w:val="13"/>
        </w:numPr>
        <w:tabs>
          <w:tab w:val="left" w:pos="900"/>
        </w:tabs>
        <w:rPr>
          <w:sz w:val="24"/>
          <w:szCs w:val="24"/>
        </w:rPr>
      </w:pPr>
      <w:r w:rsidRPr="00A203EC">
        <w:rPr>
          <w:sz w:val="24"/>
          <w:szCs w:val="24"/>
        </w:rPr>
        <w:t>Treatment duration</w:t>
      </w:r>
      <w:r w:rsidR="00487011">
        <w:rPr>
          <w:sz w:val="24"/>
          <w:szCs w:val="24"/>
        </w:rPr>
        <w:tab/>
      </w:r>
      <w:r w:rsidR="00487011">
        <w:rPr>
          <w:sz w:val="24"/>
          <w:szCs w:val="24"/>
        </w:rPr>
        <w:tab/>
      </w:r>
      <w:r w:rsidR="00487011">
        <w:rPr>
          <w:sz w:val="24"/>
          <w:szCs w:val="24"/>
        </w:rPr>
        <w:tab/>
      </w:r>
      <w:r w:rsidR="00487011">
        <w:rPr>
          <w:sz w:val="24"/>
          <w:szCs w:val="24"/>
        </w:rPr>
        <w:tab/>
      </w:r>
      <w:r w:rsidR="00487011">
        <w:rPr>
          <w:sz w:val="24"/>
          <w:szCs w:val="24"/>
        </w:rPr>
        <w:tab/>
      </w:r>
      <w:r w:rsidR="00487011">
        <w:rPr>
          <w:sz w:val="24"/>
          <w:szCs w:val="24"/>
        </w:rPr>
        <w:tab/>
        <w:t>43 - 47</w:t>
      </w:r>
    </w:p>
    <w:p w14:paraId="0B476188" w14:textId="77777777" w:rsidR="00900927" w:rsidRDefault="00900927" w:rsidP="00900927">
      <w:pPr>
        <w:pStyle w:val="ListParagraph"/>
        <w:rPr>
          <w:b/>
          <w:sz w:val="24"/>
          <w:szCs w:val="24"/>
        </w:rPr>
      </w:pPr>
    </w:p>
    <w:p w14:paraId="4C7551A8" w14:textId="77777777" w:rsidR="001E37B7" w:rsidRPr="001E37B7" w:rsidRDefault="001E37B7" w:rsidP="001E37B7">
      <w:pPr>
        <w:pStyle w:val="ListParagraph"/>
        <w:numPr>
          <w:ilvl w:val="0"/>
          <w:numId w:val="12"/>
        </w:numPr>
        <w:rPr>
          <w:b/>
          <w:sz w:val="24"/>
          <w:szCs w:val="24"/>
        </w:rPr>
      </w:pPr>
      <w:r w:rsidRPr="001E37B7">
        <w:rPr>
          <w:b/>
          <w:sz w:val="24"/>
          <w:szCs w:val="24"/>
        </w:rPr>
        <w:t>Implications and Recommendations</w:t>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r>
      <w:r w:rsidR="00900927">
        <w:rPr>
          <w:b/>
          <w:sz w:val="24"/>
          <w:szCs w:val="24"/>
        </w:rPr>
        <w:tab/>
        <w:t>4</w:t>
      </w:r>
      <w:r w:rsidR="00487011">
        <w:rPr>
          <w:b/>
          <w:sz w:val="24"/>
          <w:szCs w:val="24"/>
        </w:rPr>
        <w:t>8</w:t>
      </w:r>
      <w:r w:rsidR="00900927">
        <w:rPr>
          <w:b/>
          <w:sz w:val="24"/>
          <w:szCs w:val="24"/>
        </w:rPr>
        <w:t xml:space="preserve"> - </w:t>
      </w:r>
      <w:r w:rsidR="00487011">
        <w:rPr>
          <w:b/>
          <w:sz w:val="24"/>
          <w:szCs w:val="24"/>
        </w:rPr>
        <w:t>52</w:t>
      </w:r>
    </w:p>
    <w:p w14:paraId="4BCA7D29" w14:textId="77777777" w:rsidR="00464B3C" w:rsidRPr="00815AD8" w:rsidRDefault="00464B3C" w:rsidP="00815AD8">
      <w:pPr>
        <w:pStyle w:val="ListParagraph"/>
        <w:numPr>
          <w:ilvl w:val="0"/>
          <w:numId w:val="12"/>
        </w:numPr>
        <w:rPr>
          <w:b/>
          <w:sz w:val="28"/>
          <w:szCs w:val="28"/>
        </w:rPr>
      </w:pPr>
      <w:r w:rsidRPr="00815AD8">
        <w:rPr>
          <w:b/>
          <w:sz w:val="28"/>
          <w:szCs w:val="28"/>
        </w:rPr>
        <w:br w:type="page"/>
      </w:r>
    </w:p>
    <w:p w14:paraId="323073A6" w14:textId="77777777" w:rsidR="00040E65" w:rsidRDefault="00040E65" w:rsidP="00040E65">
      <w:r>
        <w:rPr>
          <w:b/>
        </w:rPr>
        <w:lastRenderedPageBreak/>
        <w:t>Executive Summary</w:t>
      </w:r>
    </w:p>
    <w:p w14:paraId="07D17469" w14:textId="77777777" w:rsidR="00040E65" w:rsidRDefault="00040E65" w:rsidP="00040E65">
      <w:r>
        <w:t xml:space="preserve">Fatal and non-fatal opioid-related overdoses and cases of opioid use disorder (OUD) continue to increase nationally and in Massachusetts, driven in recent years by the prevalence of heroin, fentanyl, and fentanyl analogs. </w:t>
      </w:r>
      <w:r w:rsidRPr="00405D59">
        <w:t xml:space="preserve">As the opioid epidemic has come </w:t>
      </w:r>
      <w:r>
        <w:t xml:space="preserve">increasingly </w:t>
      </w:r>
      <w:r w:rsidRPr="00405D59">
        <w:t>to be understood as an epidemic of addiction</w:t>
      </w:r>
      <w:r>
        <w:t>,</w:t>
      </w:r>
      <w:r w:rsidRPr="00405D59">
        <w:t xml:space="preserve"> state and federal efforts to address </w:t>
      </w:r>
      <w:r>
        <w:t>it</w:t>
      </w:r>
      <w:r w:rsidRPr="00405D59">
        <w:t xml:space="preserve"> have focused on </w:t>
      </w:r>
      <w:r>
        <w:t>expand</w:t>
      </w:r>
      <w:r w:rsidRPr="00405D59">
        <w:t xml:space="preserve">ing the availability of treatment for </w:t>
      </w:r>
      <w:r>
        <w:t>OUD</w:t>
      </w:r>
      <w:r w:rsidRPr="00405D59">
        <w:t>, in particular medication-assisted treatment with buprenorphine</w:t>
      </w:r>
      <w:r>
        <w:t xml:space="preserve"> (MOUD).</w:t>
      </w:r>
      <w:r w:rsidRPr="00405D59">
        <w:t xml:space="preserve"> The growth in buprenorphine-waivered prescribers has substantially increased potential access to opioid agonist treatment</w:t>
      </w:r>
      <w:r>
        <w:t>.</w:t>
      </w:r>
      <w:r w:rsidRPr="00405D59">
        <w:t xml:space="preserve"> However, growth in waivered prescribers has been geographically uneven</w:t>
      </w:r>
      <w:r>
        <w:t>,</w:t>
      </w:r>
      <w:r w:rsidRPr="00405D59">
        <w:t xml:space="preserve"> providers have reported a number of barriers to prescribing buprenorphine</w:t>
      </w:r>
      <w:r>
        <w:t>,</w:t>
      </w:r>
      <w:r w:rsidRPr="00405D59">
        <w:t xml:space="preserve"> and many waivered providers are not prescribing buprenorphine at all or are prescribing to numbers of patients well below their waiver limits</w:t>
      </w:r>
      <w:r>
        <w:t xml:space="preserve">. Racial and ethnic disparities appear to account for at least some of the variation in access to treatment. </w:t>
      </w:r>
    </w:p>
    <w:p w14:paraId="096B901A" w14:textId="77777777" w:rsidR="00040E65" w:rsidRPr="00405D59" w:rsidRDefault="00040E65" w:rsidP="00040E65">
      <w:r>
        <w:t>Mechanisms by which such racial/ethnic disparities develop and are maintained, however, are not well understood. In clinical settings involving cardiac surgery and hip replacement surgery, properties of physician patient-sharing networks thought to increase physician access to peer information, resources, and support – and hence to enhance patient outcomes – were found to vary systematically by the racial makeup of communities served by those physicians. This project followed a similar approach. We examined properties of patient-sharing networks among buprenorphine prescribers, properties thought to increase prescriber access to peer information, resources, and support for providing MOUD treatment, in relation to community racial/ethnic makeup. We thus sought to assess whether these networks might have contributed to racial/ethnic disparities in access to MOUD treatment in Massachusetts communities. And if so, to identify interventions, based on our findings and the literature of social networks, that might help to reduce such disparities.</w:t>
      </w:r>
    </w:p>
    <w:p w14:paraId="7E83F282" w14:textId="77777777" w:rsidR="00040E65" w:rsidRDefault="00040E65" w:rsidP="00040E65">
      <w:pPr>
        <w:spacing w:after="0"/>
      </w:pPr>
      <w:r>
        <w:t xml:space="preserve">This project is funded under the RIZE Massachusetts Foundation’s </w:t>
      </w:r>
      <w:r w:rsidRPr="003801E6">
        <w:rPr>
          <w:i/>
        </w:rPr>
        <w:t>Insights and Solutions</w:t>
      </w:r>
      <w:r>
        <w:t xml:space="preserve"> initiative and builds on earlier work conducted with the Massachusetts Department of Public Health, Prescription Monitoring Program (MA PMP), using data provided by the PMP, with permission for its use in this project. Project work proceeded along three lines, findings from which are summarized below: </w:t>
      </w:r>
    </w:p>
    <w:p w14:paraId="26FB66DB" w14:textId="77777777" w:rsidR="00040E65" w:rsidRDefault="00040E65" w:rsidP="00040E65">
      <w:pPr>
        <w:spacing w:after="0"/>
      </w:pPr>
      <w:r>
        <w:t>(1) An assessment of prescriber capacity to provide MOUD treatment in Massachusetts counties, and evidence for racial/ethnic disparities in access to treatment;</w:t>
      </w:r>
    </w:p>
    <w:p w14:paraId="15A59C54" w14:textId="77777777" w:rsidR="00040E65" w:rsidRDefault="00040E65" w:rsidP="00040E65">
      <w:pPr>
        <w:spacing w:after="0"/>
      </w:pPr>
      <w:r>
        <w:t>(2) An analysis of prescriber patient-sharing networks and evidence of racial/ethnic differences in network properties thought to increase prescriber access to peer information and support; and</w:t>
      </w:r>
    </w:p>
    <w:p w14:paraId="0D6B01E9" w14:textId="77777777" w:rsidR="00040E65" w:rsidRDefault="00040E65" w:rsidP="00040E65">
      <w:r>
        <w:t xml:space="preserve">(3) At the individual provider level, analyses of the role of prescriber variables, in particular patient-sharing network ties, in the adoption of buprenorphine waivers for </w:t>
      </w:r>
      <w:r w:rsidR="00B30B86">
        <w:t xml:space="preserve">30, </w:t>
      </w:r>
      <w:r>
        <w:t>100</w:t>
      </w:r>
      <w:r w:rsidR="00B30B86">
        <w:t>,</w:t>
      </w:r>
      <w:r>
        <w:t xml:space="preserve"> and 275</w:t>
      </w:r>
      <w:r w:rsidR="00B30B86">
        <w:t xml:space="preserve"> </w:t>
      </w:r>
      <w:r>
        <w:t>patients. A</w:t>
      </w:r>
      <w:r w:rsidR="00B30B86">
        <w:t>lso</w:t>
      </w:r>
      <w:r>
        <w:t xml:space="preserve"> at the individual patient level, an analysis of MOUD treatment duration in relation to patient, prescriber, and county demographic variables.</w:t>
      </w:r>
    </w:p>
    <w:p w14:paraId="5D34EE62" w14:textId="77777777" w:rsidR="00040E65" w:rsidRDefault="00040E65" w:rsidP="00040E65">
      <w:r>
        <w:t>Finally, we discuss implications of project findings and recommendations for how racial/ethnic disparities in access to MOUD treatment in Massachusetts can be addressed.</w:t>
      </w:r>
    </w:p>
    <w:p w14:paraId="52A9FBEB" w14:textId="77777777" w:rsidR="00040E65" w:rsidRDefault="00040E65" w:rsidP="00040E65">
      <w:pPr>
        <w:pStyle w:val="ListParagraph"/>
        <w:numPr>
          <w:ilvl w:val="0"/>
          <w:numId w:val="8"/>
        </w:numPr>
      </w:pPr>
      <w:r w:rsidRPr="006B086A">
        <w:rPr>
          <w:u w:val="single"/>
        </w:rPr>
        <w:t>Racial/ethnic disparities in access to MOUD treatment</w:t>
      </w:r>
      <w:r>
        <w:t xml:space="preserve">.  Following the approach of the Massachusetts Department of Public Health, we measured access to MOUD treatment as the ratio </w:t>
      </w:r>
      <w:r>
        <w:lastRenderedPageBreak/>
        <w:t>of the average number of concurrent MOUD patients of waivered prescribers in each MA county, to the total waiver capacity of those prescribers. We examined changes in access to treatment across the years 2011 – 2018 and in relation to county demographics. In pooled time-series analyses of access to MOUD treatment, controlling for the number of waivered prescribers per 10,000 population in a county, the opioid-related overdose death rate (lagged one year), the number of methadone clinics per 100,000 population, and alternatively the percent of the population in poverty or the median household income, we found strong evidence for lower access to MOUD treatment in counties with a higher percentage of black residents and in counties with a higher percentage of Hispanic residents.</w:t>
      </w:r>
    </w:p>
    <w:p w14:paraId="5E3249CD" w14:textId="77777777" w:rsidR="00040E65" w:rsidRDefault="00040E65" w:rsidP="00040E65">
      <w:pPr>
        <w:pStyle w:val="ListParagraph"/>
        <w:spacing w:after="0"/>
        <w:ind w:left="360"/>
      </w:pPr>
    </w:p>
    <w:p w14:paraId="4A4618BC" w14:textId="77777777" w:rsidR="00040E65" w:rsidRDefault="00040E65" w:rsidP="00040E65">
      <w:pPr>
        <w:pStyle w:val="ListParagraph"/>
        <w:numPr>
          <w:ilvl w:val="0"/>
          <w:numId w:val="8"/>
        </w:numPr>
        <w:spacing w:before="200"/>
      </w:pPr>
      <w:r w:rsidRPr="00127A4D">
        <w:rPr>
          <w:u w:val="single"/>
        </w:rPr>
        <w:t>Selected properties of prescriber patient-sharing networks</w:t>
      </w:r>
      <w:r>
        <w:t>. To assess whether properties of prescriber patient-sharing networks might help account for such disparities, we followed previous research and constructed county-level networks of buprenorphine prescriber shared-patient ties of at least 10 MOUD patients in a given year. We assessed network properties found in other studies to promote provider access to peer information, resources, and support, namely the percent of prescribers in the network who are part of the largest connected component, the Small World Index – a measure of how reachable each prescriber in the network is by each other prescriber, and centralization – a measure of the extent network ties are organized around a few prescribers who each have many ties (network “hubs”).</w:t>
      </w:r>
    </w:p>
    <w:p w14:paraId="7E2FC746" w14:textId="77777777" w:rsidR="00040E65" w:rsidRDefault="00040E65" w:rsidP="00040E65">
      <w:pPr>
        <w:spacing w:before="200"/>
        <w:ind w:left="360"/>
      </w:pPr>
      <w:r>
        <w:t>In analytic models similar to those used in (1), for the years 2011 – 2018, we found strong evidence for disparities in the Small World Index and network centralization, and weak evidence for disparities in the percent of prescribers who are part of the largest connected component. That is, in counties with a higher percentage of black or of Hispanic residents, we found a significantly larger Small World Index (i.e., greater difficulty in peer access to other peers), significantly smaller centralization, and a marginally smaller percent of prescribers in the largest connected component. The findings imply poorer provider access to peer information, resources, and support in counties with a higher proportion of non-white residents.</w:t>
      </w:r>
    </w:p>
    <w:p w14:paraId="09FCC69D" w14:textId="77777777" w:rsidR="00040E65" w:rsidRPr="007E1809" w:rsidRDefault="00040E65" w:rsidP="00040E65">
      <w:pPr>
        <w:spacing w:before="200"/>
        <w:ind w:left="360"/>
      </w:pPr>
      <w:r>
        <w:t>In the analyses for both lines of work (1) and (2) above, we observed an inflection point in 2015 in changes in both access to treatment and the prescriber network properties over time. In particular, in models akin to those in (1) of access to treatment, we found, for the years 2015 – 2018 (but not for 2011 – 2014), strong evidence of an association between all three network properties and access to treatment, in the expected direction: counties with a higher percent of prescribers belonging to the largest connected component, a smaller Small World Index, and/or higher centralization, had higher access to treatment.</w:t>
      </w:r>
    </w:p>
    <w:p w14:paraId="415C2404" w14:textId="77777777" w:rsidR="00040E65" w:rsidRDefault="00040E65" w:rsidP="00040E65">
      <w:pPr>
        <w:pStyle w:val="ListParagraph"/>
        <w:numPr>
          <w:ilvl w:val="0"/>
          <w:numId w:val="8"/>
        </w:numPr>
      </w:pPr>
      <w:r w:rsidRPr="00063C60">
        <w:rPr>
          <w:u w:val="single"/>
        </w:rPr>
        <w:t xml:space="preserve">Adoption of the </w:t>
      </w:r>
      <w:r w:rsidR="00B30B86">
        <w:rPr>
          <w:u w:val="single"/>
        </w:rPr>
        <w:t xml:space="preserve">30-, </w:t>
      </w:r>
      <w:r w:rsidRPr="00063C60">
        <w:rPr>
          <w:u w:val="single"/>
        </w:rPr>
        <w:t>100-</w:t>
      </w:r>
      <w:r w:rsidR="00B30B86">
        <w:rPr>
          <w:u w:val="single"/>
        </w:rPr>
        <w:t>,</w:t>
      </w:r>
      <w:r w:rsidRPr="00063C60">
        <w:rPr>
          <w:u w:val="single"/>
        </w:rPr>
        <w:t xml:space="preserve"> and 275-patient waivers</w:t>
      </w:r>
      <w:r>
        <w:t xml:space="preserve">. The inflection point in 2015 also impacted patterns in prescriber adoption of buprenorphine waivers for </w:t>
      </w:r>
      <w:r w:rsidR="00B30B86">
        <w:t xml:space="preserve">30, </w:t>
      </w:r>
      <w:r>
        <w:t>100</w:t>
      </w:r>
      <w:r w:rsidR="00B30B86">
        <w:t>,</w:t>
      </w:r>
      <w:r>
        <w:t xml:space="preserve"> and 275 patients, and appeared to be driven by prescriber demand for the 275-patient limit waiver. The waiver for 100 patients began in January, 2007. Since our data began in 2011, we were only able to analyze adoption of this waiver for the years 2012 – 2018, where the pool of potential adopters was prescribers waivered for 30 patients in or before the previous year. In models that controlled for </w:t>
      </w:r>
      <w:r>
        <w:lastRenderedPageBreak/>
        <w:t>different adoption rates by county,</w:t>
      </w:r>
      <w:r>
        <w:rPr>
          <w:rStyle w:val="FootnoteReference"/>
        </w:rPr>
        <w:footnoteReference w:id="1"/>
      </w:r>
      <w:r>
        <w:t xml:space="preserve"> we found that both the median number of MOUD patients a prescriber had, and (negatively) the number of years they had been waivered for 30 patients were highly significant predictors of adoption of the 100-patient waiver, for each year 2012 – 2018. We found that the number of shared-patient ties (of at least 10 patients) a prescriber had was a significant predictor for the years 2012 – 2014 and 2018, but not for 2015 – 2017. That is, prescribers waivered for 30 patients who had more MOUD patients, were more recently waivered for 30 patients, and (for 2012 – 2014 and 2018) had more shared-patient ties, were more likely to become waivered for 100 patients. </w:t>
      </w:r>
    </w:p>
    <w:p w14:paraId="06DE8306" w14:textId="77777777" w:rsidR="00040E65" w:rsidRDefault="00040E65" w:rsidP="00040E65">
      <w:pPr>
        <w:ind w:left="360"/>
      </w:pPr>
      <w:r>
        <w:t>In the literature on innovation diffusion in networks, the typical pattern of diffusion is that the first adopters are network members who have few network ties (that is, are on the edges of the network); as or if diffusion proceeds, network members who have more ties (are more central to the network) begin to adopt, then become the predominant adopters. Although we weren’t able to examine the first adopters for the 100-patient waiver, we did find that, by 2012 (five years into the diffusion process), prescribers with more network ties had become the predominant adopters. This pattern was interrupted in 2015, due, we believe, to the availability of the 275-patient waiver in 2016.</w:t>
      </w:r>
    </w:p>
    <w:p w14:paraId="2155414B" w14:textId="77777777" w:rsidR="00040E65" w:rsidRDefault="00040E65" w:rsidP="00040E65">
      <w:pPr>
        <w:ind w:left="360"/>
      </w:pPr>
      <w:r>
        <w:t>The waiver for 275 patients began in September, 2016. We were able to analyze its adoption for 2016 – 2018, and the first eight months of 2019, by prescribers who were waivered for 100 patients in or before the previous year. In models that controlled for different adoption rates by county and for medical specialty,</w:t>
      </w:r>
      <w:r>
        <w:rPr>
          <w:rStyle w:val="FootnoteReference"/>
        </w:rPr>
        <w:footnoteReference w:id="2"/>
      </w:r>
      <w:r>
        <w:t xml:space="preserve"> we found that (a) the median number of MOUD patients a prescriber had was a significant predictor of adoption of the 275-patient waiver for 2016 – 2018, but not for 2019; the number of years a prescriber had been waivered for 100 patients was a significant (negative) predictor for 2017 – 2019; and the number of shared-patient ties a prescriber had was a significant negative predictor for 2016, and a significant positive predictor for 2018 and 2019. That is, the first adopters of the 275-patient waiver were driven primarily by already treating higher numbers of patients (and likely by pressures external to the system), and were network members on the edges of the shared-patient network. By 2018, this pattern had changed, and prescribers with more shared-patient ties (i.e., were more central to the network) had become the predominant adopters. As with the adoption of the 100-patient waiver, adopters of the 275-patient waiver were relatively newly waivered for 100 patients.</w:t>
      </w:r>
    </w:p>
    <w:p w14:paraId="5EB691FE" w14:textId="77777777" w:rsidR="00B30B86" w:rsidRDefault="00B30B86" w:rsidP="00040E65">
      <w:pPr>
        <w:ind w:left="360"/>
      </w:pPr>
      <w:r>
        <w:t xml:space="preserve">Not least, we also examined the effect, among non-waivered prescribers, of non-buprenorphine shared-patient ties with waivered prescribers on the likelihood of initially becoming waivered (i.e., for 30 patients). We found a significant and persistent effect of such ties on the likelihood of initially becoming waivered over several years subsequent to the </w:t>
      </w:r>
      <w:r w:rsidR="00851F44">
        <w:t xml:space="preserve">year of the </w:t>
      </w:r>
      <w:r>
        <w:t xml:space="preserve">observed ties. Having one or more non-buprenorphine shared-patient tie (of at least 10 patients in a year) with a waivered </w:t>
      </w:r>
      <w:r>
        <w:lastRenderedPageBreak/>
        <w:t>prescriber increased the likelihood of initially becoming waivered by 400% or more in any of the three</w:t>
      </w:r>
      <w:r w:rsidR="00851F44">
        <w:t xml:space="preserve"> subsequent years.</w:t>
      </w:r>
    </w:p>
    <w:p w14:paraId="1D0B9C82" w14:textId="77777777" w:rsidR="00040E65" w:rsidRDefault="00040E65" w:rsidP="00040E65">
      <w:pPr>
        <w:ind w:left="360"/>
      </w:pPr>
      <w:r>
        <w:t xml:space="preserve">We also examined </w:t>
      </w:r>
      <w:r w:rsidRPr="00FE6BD3">
        <w:rPr>
          <w:u w:val="single"/>
        </w:rPr>
        <w:t>MOUD treatment duration</w:t>
      </w:r>
      <w:r>
        <w:t>, in relation to patient and prescriber variables and county variables of patient residence. Specifically, we conducted survival analyses of 67,251 patients who had not received a buprenorphine prescription for at least 30 days prior to initiating treatment, for the years 2011 - 2018. Longer treatment duration was associated with being female, being older (age 50-60 more than age 40-49, in turn more than 30-39, and in turn more than 20-29), having more prescribers (three and up a greater duration than two, in turn two a greater duration than one), having a primary prescriber waivered for 100 patients, and having a primary prescriber waivered for 275 patients. Shorter treatment duration was associated with the primary prescriber being a nurse practitioner or physician assistant, with the primary prescriber having more shared-patient ties,</w:t>
      </w:r>
      <w:r>
        <w:rPr>
          <w:rStyle w:val="FootnoteReference"/>
        </w:rPr>
        <w:footnoteReference w:id="3"/>
      </w:r>
      <w:r>
        <w:t xml:space="preserve"> and with a higher percent of residents in the patient’s county who are Hispanic or black. In the latter case, patients residing in counties with the highest percentages of Hispanic or of black residents had, on average, the shortest treatment duration, while patients residing in counties with somewhat lower percentages of Hispanic or black residents had somewhat less short treatment duration. Patients residing in both sets of counties had shorter treatment duration than patients residing in counties with the lowest percentage of Hispanic or black residents.</w:t>
      </w:r>
    </w:p>
    <w:p w14:paraId="617FFBE5" w14:textId="77777777" w:rsidR="00040E65" w:rsidRDefault="00040E65" w:rsidP="00040E65">
      <w:pPr>
        <w:pStyle w:val="ListParagraph"/>
        <w:numPr>
          <w:ilvl w:val="0"/>
          <w:numId w:val="8"/>
        </w:numPr>
      </w:pPr>
      <w:r w:rsidRPr="00FE6BD3">
        <w:rPr>
          <w:u w:val="single"/>
        </w:rPr>
        <w:t>Implications</w:t>
      </w:r>
      <w:r>
        <w:t>. A number of our findings appear to converge as follows. The availability of the 275-patient waiver, starting in September, 2016, led to a surge in adoption of that waiver and also had a powerful upstream influence on the adoption of waivers for 100 and 30 patients. Adoptions of the 100- and, especially, the 275-patient waiver helped to stabilize prescriber shared-patient networks beginning in 2015: on average, prescribers with the 100-patient waiver had about three times as many shared-patient ties (of 10 or more patients in a year) as prescribers with the 30-patients waiver, and prescribers with the 275-patient waiver had, in turn, almost three times as many shared patient ties as prescribers with the 100-patient waiver.</w:t>
      </w:r>
      <w:r>
        <w:rPr>
          <w:rStyle w:val="FootnoteReference"/>
        </w:rPr>
        <w:footnoteReference w:id="4"/>
      </w:r>
      <w:r>
        <w:t xml:space="preserve"> That is, prescribers with waivers for the higher patient limits tended to be “hubs” in the shared-patient networks, linking many other prescribers and providing a kind of glue for the network as a whole. The presence of network hubs facilitates a network’s having small-world properties,</w:t>
      </w:r>
      <w:r>
        <w:rPr>
          <w:rStyle w:val="FootnoteReference"/>
        </w:rPr>
        <w:footnoteReference w:id="5"/>
      </w:r>
      <w:r>
        <w:t xml:space="preserve"> whereby any network member is reachable in a few steps (i.e., prescriber ties) from any other member, and where the distribution of shared-patient ties among network members tends to follow a power law – a few highly-connected prescribers and many other prescribers with relatively few connections. Small world-ness is also associated with network stability and robustness in the face of external changes: patterns of shared-</w:t>
      </w:r>
      <w:r>
        <w:lastRenderedPageBreak/>
        <w:t>patient ties tend to persist, even as the individual patients change, especially in networks with small-world properties.</w:t>
      </w:r>
    </w:p>
    <w:p w14:paraId="05EF63C6" w14:textId="77777777" w:rsidR="00040E65" w:rsidRDefault="00040E65" w:rsidP="00040E65">
      <w:pPr>
        <w:ind w:left="360"/>
      </w:pPr>
      <w:r>
        <w:t>Proportionally to the number of waivered prescribers in a county, prescribers with the 275-patient waiver tended to be located in counties with lower percentages of black or Hispanic residents. Because 275-patient waivered prescribers tend to treat higher numbers of patients, their location tends to support racial/ethnic disparities in access to treatment. Because 275-waivered prescribers also have the most shared-patient ties, they tend to provide a scaffold for more robust shared-patient prescriber networks, whose small-world properties facilitate prescriber access to peer information, resource, and support. The 275-patient waiver thus also supports racial/ethnic disparities in the properties of these networks that support prescribers in treating more patients.</w:t>
      </w:r>
    </w:p>
    <w:p w14:paraId="4BD365C4" w14:textId="77777777" w:rsidR="00040E65" w:rsidRDefault="00040E65" w:rsidP="00040E65">
      <w:pPr>
        <w:ind w:left="360"/>
      </w:pPr>
      <w:r>
        <w:t>By 2018, adoption of the 275-patient waiver by prescribers already waivered for 100 patients was driven by shared-patient ties as well as by the number of patients these prescribers were already treating, and by 2019, adoption was driven mainly by shared-patient ties. Also by 2018, generalist physicians had overtaken psychiatrists and neurologists as the primary adopters. Based on the foregoing implications, we offer the following recommendations.</w:t>
      </w:r>
    </w:p>
    <w:p w14:paraId="07F3EAF2" w14:textId="77777777" w:rsidR="00040E65" w:rsidRDefault="00040E65" w:rsidP="00040E65">
      <w:pPr>
        <w:ind w:left="360"/>
      </w:pPr>
      <w:r w:rsidRPr="00F20E27">
        <w:rPr>
          <w:u w:val="single"/>
        </w:rPr>
        <w:t>Recommendations</w:t>
      </w:r>
      <w:r>
        <w:t>. (1) Existing shared-patient networks can be used to identify prescribers in the role of network broker, or “structural hole,” who serve to connect different subgroups of a network. To increase the small world properties of a network in which they are embedded, or to which their network is adjacent, these prescribers might be provided incentives to form new shared-patient connections with prescribers in network subgroups with which they currently do not share patients. Because such prescribers have experience in linking different subgroups, and presumably benefit by being able to access different sources of information and resources associated with these subgroups, they are more likely than other prescribers to be willing and able to make new connections. An educational or training event might bring them together with prescribers to newly connect with. However, maintaining ongoing connections requires an ongoing benefit, which might eventually take the form of information and resources different from those received elsewhere, but which probably needs an additional incentive to become established.</w:t>
      </w:r>
    </w:p>
    <w:p w14:paraId="3388F81E" w14:textId="77777777" w:rsidR="00040E65" w:rsidRPr="00E5129C" w:rsidRDefault="00040E65" w:rsidP="00040E65">
      <w:pPr>
        <w:ind w:left="360"/>
      </w:pPr>
      <w:r w:rsidRPr="00E5129C">
        <w:t xml:space="preserve">(2) </w:t>
      </w:r>
      <w:r>
        <w:t>In counties with lower access to treatment, and where prescriber networks are characterized by weaker small world properties, a mentorship program might be set up encourage prescribers currently waivered for 30 or 100 patients to become waivered for 275 patients, and to support them in providing treatment to more patients. Specifically, they might be paired with a prescriber currently waivered for 275 patients (whether in the same or an adjacent county), whom they could observe and from whom they could receive coaching and support to build their own treatment practice. At least some prospective mentors may need an incentive to participate in such a program; for others, the possibility of assisting a peer to help address disparities in access to treatment may be enough. In addition to being waivered for 275 patients, prospective mentors might be selected based on continuing growth in the number of patients they treat and their centrality (i.e., number of shared-patient ties) in their prescriber network.</w:t>
      </w:r>
    </w:p>
    <w:p w14:paraId="28A36533" w14:textId="77777777" w:rsidR="00040E65" w:rsidRDefault="00040E65" w:rsidP="00040E65">
      <w:pPr>
        <w:ind w:left="360"/>
      </w:pPr>
      <w:r w:rsidRPr="009E6DC7">
        <w:lastRenderedPageBreak/>
        <w:t>(</w:t>
      </w:r>
      <w:r>
        <w:t>3</w:t>
      </w:r>
      <w:r w:rsidRPr="009E6DC7">
        <w:t>)</w:t>
      </w:r>
      <w:r>
        <w:rPr>
          <w:u w:val="single"/>
        </w:rPr>
        <w:t xml:space="preserve"> </w:t>
      </w:r>
      <w:r w:rsidRPr="00F20E27">
        <w:t>Further study is needed on the following topics to help tailor efforts to address racial/ethnic disparities in access to treatment.</w:t>
      </w:r>
    </w:p>
    <w:p w14:paraId="1F6E2840" w14:textId="77777777" w:rsidR="00040E65" w:rsidRDefault="00040E65" w:rsidP="00040E65">
      <w:pPr>
        <w:pStyle w:val="ListParagraph"/>
        <w:numPr>
          <w:ilvl w:val="0"/>
          <w:numId w:val="9"/>
        </w:numPr>
        <w:ind w:left="1080"/>
      </w:pPr>
      <w:r>
        <w:t>Hampden County appears to be an outlier in our data, in that it ranked third among counties in percent of residents who are black and first in percent of residents who are Hispanic, yet it ranked in the upper half of counties in access to treatment. It also ranked high (better) in the percent of network prescribers in the largest connected component, the Small World Index, and network centralization. Understanding how Hampden County achieved this level of access to treatment and prescriber network properties could give clues to how other counties with relatively high percentages of black and Hispanic residents can increase access to treatment.</w:t>
      </w:r>
    </w:p>
    <w:p w14:paraId="600AE71B" w14:textId="77777777" w:rsidR="00040E65" w:rsidRDefault="00040E65" w:rsidP="00040E65">
      <w:pPr>
        <w:pStyle w:val="ListParagraph"/>
        <w:numPr>
          <w:ilvl w:val="0"/>
          <w:numId w:val="9"/>
        </w:numPr>
        <w:ind w:left="1080"/>
      </w:pPr>
      <w:r>
        <w:t>Many prescribers waivered for 30 patients stopped prescribing buprenorphine altogether. This was especially pronounced in counties with higher percentages of black or Hispanic residents. Understanding the reasons for their stopping (or never starting) and what would have helped them develop or maintain treatment of MOUD patients would inform efforts to prevent their stopping.</w:t>
      </w:r>
    </w:p>
    <w:p w14:paraId="1D50D811" w14:textId="77777777" w:rsidR="00040E65" w:rsidRDefault="00040E65" w:rsidP="00040E65">
      <w:pPr>
        <w:pStyle w:val="ListParagraph"/>
        <w:numPr>
          <w:ilvl w:val="0"/>
          <w:numId w:val="9"/>
        </w:numPr>
        <w:ind w:left="1080"/>
      </w:pPr>
      <w:r>
        <w:t>To help counties facilitate their prescribers’ adoption of the 275-patient waiver as well as increase shared-patient ties among prescribers, a more detailed understanding of these ties is needed. In particular,</w:t>
      </w:r>
    </w:p>
    <w:p w14:paraId="417DD52C" w14:textId="77777777" w:rsidR="00040E65" w:rsidRDefault="00040E65" w:rsidP="00040E65">
      <w:pPr>
        <w:pStyle w:val="ListParagraph"/>
        <w:numPr>
          <w:ilvl w:val="0"/>
          <w:numId w:val="10"/>
        </w:numPr>
        <w:ind w:left="1800"/>
      </w:pPr>
      <w:r>
        <w:t>To what extent does belonging to the same group practice account for shared-patient ties? Do shared-patient ties among members of the same practice have the same effects (e.g., in driving adoption of waivers for higher patient limits) as ties between prescribers in different practices? (Answering these questions requires access to data on membership in group practices, which we currently do not have.)</w:t>
      </w:r>
    </w:p>
    <w:p w14:paraId="1367E063" w14:textId="77777777" w:rsidR="00040E65" w:rsidRDefault="00040E65" w:rsidP="00040E65">
      <w:pPr>
        <w:pStyle w:val="ListParagraph"/>
        <w:numPr>
          <w:ilvl w:val="0"/>
          <w:numId w:val="10"/>
        </w:numPr>
        <w:ind w:left="1800"/>
      </w:pPr>
      <w:r>
        <w:t>How do a prescriber’s shared-patient ties change/increase as the prescriber becomes waivered for higher patient limits? Which other prescribers do they connect with (i.e., medical specialty, waiver patient limits)? What factors facilitate growth in shared-patient ties and in number of MOUD patients?</w:t>
      </w:r>
    </w:p>
    <w:p w14:paraId="131802EB" w14:textId="77777777" w:rsidR="00040E65" w:rsidRDefault="00040E65" w:rsidP="00040E65">
      <w:pPr>
        <w:pStyle w:val="ListParagraph"/>
        <w:numPr>
          <w:ilvl w:val="0"/>
          <w:numId w:val="10"/>
        </w:numPr>
        <w:ind w:left="1800"/>
      </w:pPr>
      <w:r>
        <w:t>Based on the data we have, we can only infer MOUD patient status. It would be helpful to link our data with, e.g., the Massachusetts All-payer Claims data to obtain clinical information about the patient. This data source also contains patient race (albeit missing for many patients), which would allow a more direct assessment of racial/ethnic disparities in treatment.</w:t>
      </w:r>
    </w:p>
    <w:p w14:paraId="1B34B9C1" w14:textId="77777777" w:rsidR="00040E65" w:rsidRPr="00F20E27" w:rsidRDefault="00040E65" w:rsidP="00040E65">
      <w:pPr>
        <w:pStyle w:val="ListParagraph"/>
        <w:numPr>
          <w:ilvl w:val="0"/>
          <w:numId w:val="10"/>
        </w:numPr>
        <w:ind w:left="1800"/>
      </w:pPr>
      <w:r>
        <w:t xml:space="preserve">Interviews with waivered prescribers would be helpful to understand how and to what extent shared-patient ties increase the prescriber’s access to peer information, resources, and support for providing MOUD treatment, as is true in other settings. Do these ties operate differently for different medical specialties? Does their utility change over time? How do these ties come into being, especially between prescribers not in the same practice? </w:t>
      </w:r>
    </w:p>
    <w:p w14:paraId="50C6E66C" w14:textId="77777777" w:rsidR="00040E65" w:rsidRDefault="00040E65">
      <w:pPr>
        <w:rPr>
          <w:b/>
        </w:rPr>
      </w:pPr>
      <w:r>
        <w:rPr>
          <w:b/>
        </w:rPr>
        <w:br w:type="page"/>
      </w:r>
    </w:p>
    <w:p w14:paraId="798297BF" w14:textId="77777777" w:rsidR="005017DD" w:rsidRDefault="00C108FC" w:rsidP="00C108FC">
      <w:pPr>
        <w:pStyle w:val="ListParagraph"/>
        <w:numPr>
          <w:ilvl w:val="0"/>
          <w:numId w:val="1"/>
        </w:numPr>
        <w:rPr>
          <w:b/>
        </w:rPr>
      </w:pPr>
      <w:r w:rsidRPr="00C108FC">
        <w:rPr>
          <w:b/>
        </w:rPr>
        <w:lastRenderedPageBreak/>
        <w:t>Introduction</w:t>
      </w:r>
    </w:p>
    <w:p w14:paraId="2204646A" w14:textId="77777777" w:rsidR="00405D59" w:rsidRDefault="00405D59" w:rsidP="00405D59">
      <w:r>
        <w:t xml:space="preserve">Fatal and non-fatal opioid-related overdoses and cases of opioid use disorder (OUD) continue to increase nationally, driven in recent years by the </w:t>
      </w:r>
      <w:r w:rsidR="008E7880">
        <w:t>prevalence</w:t>
      </w:r>
      <w:r>
        <w:t xml:space="preserve"> of heroin, fentanyl, and fentanyl analogs</w:t>
      </w:r>
      <w:r w:rsidR="005A6A24">
        <w:t>.</w:t>
      </w:r>
      <w:r w:rsidR="008E7880">
        <w:rPr>
          <w:rStyle w:val="FootnoteReference"/>
        </w:rPr>
        <w:footnoteReference w:id="6"/>
      </w:r>
      <w:r>
        <w:t xml:space="preserve"> </w:t>
      </w:r>
      <w:r w:rsidRPr="00405D59">
        <w:t xml:space="preserve">As the opioid epidemic has come </w:t>
      </w:r>
      <w:r>
        <w:t xml:space="preserve">increasingly </w:t>
      </w:r>
      <w:r w:rsidRPr="00405D59">
        <w:t>to be understood as an epidemic of addiction</w:t>
      </w:r>
      <w:r w:rsidR="005A6A24">
        <w:t>,</w:t>
      </w:r>
      <w:r w:rsidR="008E7880">
        <w:rPr>
          <w:rStyle w:val="FootnoteReference"/>
        </w:rPr>
        <w:footnoteReference w:id="7"/>
      </w:r>
      <w:r w:rsidRPr="00405D59">
        <w:t xml:space="preserve"> state and federal efforts to address </w:t>
      </w:r>
      <w:r w:rsidR="00ED3D11">
        <w:t>it</w:t>
      </w:r>
      <w:r w:rsidRPr="00405D59">
        <w:t xml:space="preserve"> have focused on </w:t>
      </w:r>
      <w:r w:rsidR="00ED3D11">
        <w:t>expand</w:t>
      </w:r>
      <w:r w:rsidRPr="00405D59">
        <w:t xml:space="preserve">ing the availability of treatment for </w:t>
      </w:r>
      <w:r w:rsidR="00ED3D11">
        <w:t>OUD</w:t>
      </w:r>
      <w:r w:rsidRPr="00405D59">
        <w:t>, in particular medication-assisted treatment with buprenorphine</w:t>
      </w:r>
      <w:r w:rsidR="005A6A24">
        <w:t>.</w:t>
      </w:r>
      <w:r w:rsidR="008E7880">
        <w:rPr>
          <w:rStyle w:val="FootnoteReference"/>
        </w:rPr>
        <w:footnoteReference w:id="8"/>
      </w:r>
      <w:r w:rsidRPr="00405D59">
        <w:t xml:space="preserve"> The growth in buprenorphine-waivered prescribers has substantially increased potential access to opioid agonist treatment</w:t>
      </w:r>
      <w:r w:rsidR="005A6A24">
        <w:t>.</w:t>
      </w:r>
      <w:r w:rsidR="008E7880">
        <w:rPr>
          <w:rStyle w:val="FootnoteReference"/>
        </w:rPr>
        <w:footnoteReference w:id="9"/>
      </w:r>
      <w:r w:rsidRPr="00405D59">
        <w:t xml:space="preserve"> However, growth in waivered prescribers has been geographically uneven</w:t>
      </w:r>
      <w:r w:rsidR="005A6A24">
        <w:t>,</w:t>
      </w:r>
      <w:r w:rsidR="002A750B">
        <w:rPr>
          <w:rStyle w:val="FootnoteReference"/>
        </w:rPr>
        <w:footnoteReference w:id="10"/>
      </w:r>
      <w:r w:rsidR="002A750B" w:rsidRPr="002A750B">
        <w:rPr>
          <w:vertAlign w:val="superscript"/>
        </w:rPr>
        <w:t>,</w:t>
      </w:r>
      <w:r w:rsidR="002A750B">
        <w:rPr>
          <w:rStyle w:val="FootnoteReference"/>
        </w:rPr>
        <w:footnoteReference w:id="11"/>
      </w:r>
      <w:r w:rsidRPr="00405D59">
        <w:t xml:space="preserve"> providers have reported a number of barriers to prescribing buprenorphine</w:t>
      </w:r>
      <w:r w:rsidR="005A6A24">
        <w:t>,</w:t>
      </w:r>
      <w:r w:rsidR="002A750B">
        <w:rPr>
          <w:rStyle w:val="FootnoteReference"/>
        </w:rPr>
        <w:footnoteReference w:id="12"/>
      </w:r>
      <w:r w:rsidRPr="00405D59">
        <w:t xml:space="preserve"> and many waivered providers are not prescribing buprenorphine at all or are prescribing to numbers of patients well below their waiver limits</w:t>
      </w:r>
      <w:r w:rsidR="005A6A24">
        <w:t>.</w:t>
      </w:r>
      <w:r w:rsidR="00072880">
        <w:rPr>
          <w:rStyle w:val="FootnoteReference"/>
        </w:rPr>
        <w:footnoteReference w:id="13"/>
      </w:r>
      <w:r w:rsidR="00072880" w:rsidRPr="00072880">
        <w:rPr>
          <w:vertAlign w:val="superscript"/>
        </w:rPr>
        <w:t>,</w:t>
      </w:r>
      <w:r w:rsidR="00072880">
        <w:rPr>
          <w:rStyle w:val="FootnoteReference"/>
        </w:rPr>
        <w:footnoteReference w:id="14"/>
      </w:r>
      <w:r w:rsidR="008E7880">
        <w:t xml:space="preserve"> Racial and ethnic disparities appear to account for at least some of th</w:t>
      </w:r>
      <w:r w:rsidR="00C34FAE">
        <w:t>e</w:t>
      </w:r>
      <w:r w:rsidR="008E7880">
        <w:t xml:space="preserve"> variation in access to treatment</w:t>
      </w:r>
      <w:r w:rsidR="005A6A24">
        <w:t>.</w:t>
      </w:r>
      <w:r w:rsidR="00FE16D9">
        <w:rPr>
          <w:rStyle w:val="FootnoteReference"/>
        </w:rPr>
        <w:footnoteReference w:id="15"/>
      </w:r>
      <w:r w:rsidR="00FE16D9" w:rsidRPr="00FE16D9">
        <w:rPr>
          <w:vertAlign w:val="superscript"/>
        </w:rPr>
        <w:t>,</w:t>
      </w:r>
      <w:r w:rsidR="00FE16D9">
        <w:rPr>
          <w:rStyle w:val="FootnoteReference"/>
        </w:rPr>
        <w:footnoteReference w:id="16"/>
      </w:r>
      <w:r w:rsidR="00F955EC">
        <w:t xml:space="preserve"> </w:t>
      </w:r>
    </w:p>
    <w:p w14:paraId="1D8CEAE3" w14:textId="77777777" w:rsidR="00ED3D11" w:rsidRPr="00405D59" w:rsidRDefault="00ED3D11" w:rsidP="00405D59">
      <w:r>
        <w:t xml:space="preserve">However, mechanisms by which such racial/ethnic disparities develop and are maintained are not well understood. In clinical settings involving cardiac surgery and hip replacement surgery, properties of physician patient-sharing networks thought to increase physician access to peer information, resources, and support – and hence to enhance patient outcomes – were found to vary systematically by the racial </w:t>
      </w:r>
      <w:r>
        <w:lastRenderedPageBreak/>
        <w:t xml:space="preserve">makeup of </w:t>
      </w:r>
      <w:r w:rsidR="001A5348">
        <w:t>communities</w:t>
      </w:r>
      <w:r>
        <w:t xml:space="preserve"> served by those physicians</w:t>
      </w:r>
      <w:r w:rsidR="005A6A24">
        <w:t>.</w:t>
      </w:r>
      <w:r>
        <w:rPr>
          <w:rStyle w:val="FootnoteReference"/>
        </w:rPr>
        <w:footnoteReference w:id="17"/>
      </w:r>
      <w:r w:rsidRPr="00ED3D11">
        <w:rPr>
          <w:vertAlign w:val="superscript"/>
        </w:rPr>
        <w:t>,</w:t>
      </w:r>
      <w:r>
        <w:rPr>
          <w:rStyle w:val="FootnoteReference"/>
        </w:rPr>
        <w:footnoteReference w:id="18"/>
      </w:r>
      <w:r w:rsidR="008F48B7">
        <w:t xml:space="preserve"> This project follow</w:t>
      </w:r>
      <w:r w:rsidR="001A5348">
        <w:t>ed</w:t>
      </w:r>
      <w:r w:rsidR="008F48B7">
        <w:t xml:space="preserve"> a similar approach. We examined properties of patient-sharing networks among buprenorphine prescribers, properties thought to increase prescriber access to peer information, resources, and support for providing medication-assisted treatment for OUD, in relation to community racial/ethnic makeup.</w:t>
      </w:r>
      <w:r w:rsidR="001A5348">
        <w:t xml:space="preserve"> We thus sought to assess whether these networks might have contributed to racial/ethnic disparities in access to OUD treatment in Massachusetts communities. And if so, to identify interventions, based on the literature of social networks, that might help to reduce such disparities.</w:t>
      </w:r>
    </w:p>
    <w:p w14:paraId="421BB8AB" w14:textId="77777777" w:rsidR="00C108FC" w:rsidRDefault="003801E6" w:rsidP="003801E6">
      <w:r>
        <w:t xml:space="preserve">This project is funded under the RIZE Massachusetts Foundation’s </w:t>
      </w:r>
      <w:r w:rsidRPr="003801E6">
        <w:rPr>
          <w:i/>
        </w:rPr>
        <w:t>Insights and Solutions</w:t>
      </w:r>
      <w:r>
        <w:t xml:space="preserve"> initiative to develop innovative approaches to addressing the opioid crisis in Massachusetts, with a focus on addressing racial/ethnic disparities in access to OUD treatment. The project builds on earlier work conducted with the Massachusetts Department of Public Health, Prescription Monitoring Program (MA PMP), using data provided by the PMP, with permission for its use in this project. We solicited input and feedback from the MA PMP to help ensure that this project would be of use to the</w:t>
      </w:r>
      <w:r w:rsidR="004761F9">
        <w:t xml:space="preserve"> Department</w:t>
      </w:r>
      <w:r>
        <w:t xml:space="preserve"> as well as to the larger RIZE and Massachusetts communities.</w:t>
      </w:r>
    </w:p>
    <w:p w14:paraId="3C88466C" w14:textId="77777777" w:rsidR="006304F7" w:rsidRDefault="006304F7" w:rsidP="006304F7">
      <w:r>
        <w:t xml:space="preserve">This report is organized as follows. The next section describes our analysis of prescriber capacity to provide buprenorphine treatment in Massachusetts counties, and evidence for racial/ethnic disparities in access to treatment. Section III then presents our findings with respect to prescriber patient-sharing networks and evidence of racial/ethnic differences in network properties thought to increase prescriber access to peer information and support. </w:t>
      </w:r>
      <w:r w:rsidR="00FA72C1">
        <w:t xml:space="preserve">The research presented in Sections II and III represents the county as the unit of analysis. In </w:t>
      </w:r>
      <w:r>
        <w:t>Section IV</w:t>
      </w:r>
      <w:r w:rsidR="00FA72C1">
        <w:t>, the unit of analysis changes to the individual prescriber. This section</w:t>
      </w:r>
      <w:r>
        <w:t xml:space="preserve"> provides more detail about how prescriber networks may contribute to disparities in access to treatment, including </w:t>
      </w:r>
      <w:r w:rsidR="004761F9">
        <w:t>the association of</w:t>
      </w:r>
      <w:r>
        <w:t xml:space="preserve"> prescriber patient-sharing ties </w:t>
      </w:r>
      <w:r w:rsidR="004761F9">
        <w:t xml:space="preserve">with OUD treatment duration, and how such ties </w:t>
      </w:r>
      <w:r>
        <w:t>influence the likelihood of a prescriber initially becoming waivered, then becoming waivered for higher patient limits. A final section discusses network-related interventions to help address racial/ethnic disparities in access to treatment.</w:t>
      </w:r>
    </w:p>
    <w:p w14:paraId="53026FF4" w14:textId="77777777" w:rsidR="00F03081" w:rsidRDefault="00F03081" w:rsidP="00461EF0">
      <w:pPr>
        <w:tabs>
          <w:tab w:val="left" w:pos="900"/>
        </w:tabs>
        <w:ind w:left="720" w:hanging="720"/>
      </w:pPr>
      <w:r>
        <w:t xml:space="preserve">II.         </w:t>
      </w:r>
      <w:r w:rsidRPr="00F03081">
        <w:rPr>
          <w:b/>
        </w:rPr>
        <w:t>To what extent does access to buprenorphine treatment for</w:t>
      </w:r>
      <w:r w:rsidR="00461EF0">
        <w:rPr>
          <w:b/>
        </w:rPr>
        <w:t xml:space="preserve"> OUD vary geographically by the </w:t>
      </w:r>
      <w:r w:rsidRPr="00F03081">
        <w:rPr>
          <w:b/>
        </w:rPr>
        <w:t>race and ethnicity of residents?</w:t>
      </w:r>
    </w:p>
    <w:p w14:paraId="1F8DD1DD" w14:textId="77777777" w:rsidR="001F5C3C" w:rsidRPr="001F5C3C" w:rsidRDefault="001F5C3C">
      <w:r>
        <w:t xml:space="preserve">To analyze disparities in access to treatment and the contribution of buprenorphine-waivered prescriber patient-sharing networks to these disparities, we examined different geographical areas, including county, hospital service area (HSA), town/city, and zip code. The trade-off was to identify the unit in which prescriber behavior most likely reflected the geographic context, </w:t>
      </w:r>
      <w:r w:rsidR="00C2540A">
        <w:t xml:space="preserve">and </w:t>
      </w:r>
      <w:r>
        <w:t>whi</w:t>
      </w:r>
      <w:r w:rsidR="00C2540A">
        <w:t>ch also</w:t>
      </w:r>
      <w:r>
        <w:t xml:space="preserve"> </w:t>
      </w:r>
      <w:r w:rsidR="00C2540A">
        <w:t>yielded</w:t>
      </w:r>
      <w:r>
        <w:t xml:space="preserve"> sufficient statistical power to conduct meaningful analyses. We settled on county, as it produced the most reliable measures of network properties, and involved relatively fewer prescribers from outside the county. </w:t>
      </w:r>
      <w:r>
        <w:lastRenderedPageBreak/>
        <w:t>Because Massachusetts has only 12 counties with enough waivered prescribers for reliable measures, this choice limited the statistical power of our models, for which we had data for eight years: 2011</w:t>
      </w:r>
      <w:r w:rsidR="007F48A8">
        <w:t xml:space="preserve"> -</w:t>
      </w:r>
      <w:r>
        <w:t>-</w:t>
      </w:r>
      <w:r w:rsidR="007F48A8">
        <w:t xml:space="preserve"> </w:t>
      </w:r>
      <w:r>
        <w:t xml:space="preserve">2018. Nevertheless, we were able to conduct meaningful analyses while controlling for the most important variables likely to affect the model outcomes. </w:t>
      </w:r>
    </w:p>
    <w:p w14:paraId="1EB8C62E" w14:textId="77777777" w:rsidR="00682E75" w:rsidRPr="003910F9" w:rsidRDefault="003910F9">
      <w:pPr>
        <w:rPr>
          <w:b/>
        </w:rPr>
      </w:pPr>
      <w:r w:rsidRPr="003910F9">
        <w:rPr>
          <w:b/>
        </w:rPr>
        <w:t>Methods</w:t>
      </w:r>
    </w:p>
    <w:p w14:paraId="3197A3B6" w14:textId="77777777" w:rsidR="003910F9" w:rsidRDefault="003910F9">
      <w:r>
        <w:t xml:space="preserve">Following the approach of the Massachusetts </w:t>
      </w:r>
      <w:r w:rsidR="00AB15E7">
        <w:t>Department of Public Health</w:t>
      </w:r>
      <w:r>
        <w:t xml:space="preserve">, we measured access to OUD buprenorphine treatment </w:t>
      </w:r>
      <w:r w:rsidR="007F48A8">
        <w:t xml:space="preserve">(which they term “practitioner capacity”) </w:t>
      </w:r>
      <w:r>
        <w:t xml:space="preserve">as the ratio of </w:t>
      </w:r>
      <w:r w:rsidR="007F48A8">
        <w:t xml:space="preserve">the </w:t>
      </w:r>
      <w:r>
        <w:t>actual number of patients treated to prescriber waiver capacity</w:t>
      </w:r>
      <w:r w:rsidR="005A6A24">
        <w:t>.</w:t>
      </w:r>
      <w:r w:rsidR="007F48A8">
        <w:rPr>
          <w:rStyle w:val="FootnoteReference"/>
        </w:rPr>
        <w:footnoteReference w:id="19"/>
      </w:r>
      <w:r>
        <w:t xml:space="preserve"> We measured prescriber waiver capacity for each county as the sum of the individual patient limits for all prescribers located in the county who were waivered by the end of each year, 2011 – 2018. We measured the actual number of patients treated (concurrently) as the average, across all prescribers located in the county who were waivered by the end of each year, of the median number of monthly patients for each prescriber, again for 2011 – 2018. We examined changes in treatment capacity, number of patients treated, and access to treatment across these years for each county.</w:t>
      </w:r>
    </w:p>
    <w:p w14:paraId="21703E28" w14:textId="77777777" w:rsidR="00564D48" w:rsidRDefault="003910F9" w:rsidP="00564D48">
      <w:pPr>
        <w:spacing w:after="0"/>
      </w:pPr>
      <w:r>
        <w:t xml:space="preserve">To assess associations between access to treatment and the race/ethnicity of county residents, we pooled data across the 12 counties used and the years 2011 </w:t>
      </w:r>
      <w:r w:rsidR="00564D48">
        <w:t>–</w:t>
      </w:r>
      <w:r>
        <w:t xml:space="preserve"> </w:t>
      </w:r>
      <w:proofErr w:type="gramStart"/>
      <w:r>
        <w:t>2018</w:t>
      </w:r>
      <w:r w:rsidR="00564D48">
        <w:t>, and</w:t>
      </w:r>
      <w:proofErr w:type="gramEnd"/>
      <w:r w:rsidR="00564D48">
        <w:t xml:space="preserve"> </w:t>
      </w:r>
      <w:r>
        <w:t xml:space="preserve">conducted </w:t>
      </w:r>
      <w:proofErr w:type="spellStart"/>
      <w:r>
        <w:t>tobit</w:t>
      </w:r>
      <w:proofErr w:type="spellEnd"/>
      <w:r>
        <w:t xml:space="preserve"> regressions</w:t>
      </w:r>
      <w:r w:rsidR="00564D48">
        <w:t xml:space="preserve"> with access to treatment as the dependent variable. We used </w:t>
      </w:r>
      <w:proofErr w:type="spellStart"/>
      <w:r w:rsidR="00564D48">
        <w:t>tobit</w:t>
      </w:r>
      <w:proofErr w:type="spellEnd"/>
      <w:r w:rsidR="00564D48">
        <w:t xml:space="preserve"> regressions because the dependent variable is a fraction between 0 and 1. The following were independent variables:</w:t>
      </w:r>
    </w:p>
    <w:p w14:paraId="6A0D517B" w14:textId="77777777" w:rsidR="00564D48" w:rsidRDefault="00564D48" w:rsidP="00C2540A">
      <w:pPr>
        <w:pStyle w:val="ListParagraph"/>
        <w:numPr>
          <w:ilvl w:val="0"/>
          <w:numId w:val="4"/>
        </w:numPr>
        <w:spacing w:after="0"/>
      </w:pPr>
      <w:r>
        <w:t xml:space="preserve">The number of </w:t>
      </w:r>
      <w:r w:rsidR="00953B3B">
        <w:t>waivered</w:t>
      </w:r>
      <w:r>
        <w:t xml:space="preserve"> prescribers </w:t>
      </w:r>
      <w:r w:rsidR="00693978">
        <w:t>per 10,000 population</w:t>
      </w:r>
      <w:r>
        <w:t xml:space="preserve">. </w:t>
      </w:r>
    </w:p>
    <w:p w14:paraId="1BFBCA6E" w14:textId="77777777" w:rsidR="00564D48" w:rsidRDefault="00564D48" w:rsidP="00C2540A">
      <w:pPr>
        <w:pStyle w:val="ListParagraph"/>
        <w:numPr>
          <w:ilvl w:val="0"/>
          <w:numId w:val="4"/>
        </w:numPr>
        <w:spacing w:after="0"/>
      </w:pPr>
      <w:proofErr w:type="gramStart"/>
      <w:r>
        <w:t>The county opioid-related overdose death rate (deaths per 100,000 population),</w:t>
      </w:r>
      <w:proofErr w:type="gramEnd"/>
      <w:r>
        <w:t xml:space="preserve"> lagged one year. Publicly available from the Massachusetts Department of Public Health.</w:t>
      </w:r>
    </w:p>
    <w:p w14:paraId="2591A346" w14:textId="77777777" w:rsidR="00564D48" w:rsidRDefault="00564D48" w:rsidP="00C2540A">
      <w:pPr>
        <w:pStyle w:val="ListParagraph"/>
        <w:numPr>
          <w:ilvl w:val="0"/>
          <w:numId w:val="4"/>
        </w:numPr>
        <w:spacing w:after="0"/>
      </w:pPr>
      <w:r>
        <w:t>The number of methadone clinics in the county, which provide an alternative OUD treatment</w:t>
      </w:r>
      <w:r w:rsidR="00693978">
        <w:t>, also per 100,000 population</w:t>
      </w:r>
      <w:r>
        <w:t>. Available from the Massachusetts Department of Public Health.</w:t>
      </w:r>
    </w:p>
    <w:p w14:paraId="5F316894" w14:textId="77777777" w:rsidR="00564D48" w:rsidRDefault="00564D48" w:rsidP="00C2540A">
      <w:pPr>
        <w:pStyle w:val="ListParagraph"/>
        <w:numPr>
          <w:ilvl w:val="0"/>
          <w:numId w:val="4"/>
        </w:numPr>
        <w:spacing w:after="0"/>
      </w:pPr>
      <w:r>
        <w:t xml:space="preserve">Separately, percent of county residents living below the federal poverty line, or median household income. Both </w:t>
      </w:r>
      <w:r w:rsidR="00C039B1">
        <w:t xml:space="preserve">are </w:t>
      </w:r>
      <w:r>
        <w:t xml:space="preserve">available from estimates, based on US Census data, by the University of </w:t>
      </w:r>
      <w:r w:rsidR="00693978">
        <w:t>M</w:t>
      </w:r>
      <w:r>
        <w:t>assachusetts Donohue Center.</w:t>
      </w:r>
      <w:r w:rsidR="00C039B1">
        <w:t xml:space="preserve"> Because the poverty rate tended to be correlated with percent of black or percent of Hispanic residents, we used median household income (which tended to be less correlated with these measures) as an alternative way to control for relative wealth in a county.</w:t>
      </w:r>
    </w:p>
    <w:p w14:paraId="0585DFCB" w14:textId="77777777" w:rsidR="00564D48" w:rsidRDefault="00564D48" w:rsidP="00C2540A">
      <w:pPr>
        <w:pStyle w:val="ListParagraph"/>
        <w:numPr>
          <w:ilvl w:val="0"/>
          <w:numId w:val="4"/>
        </w:numPr>
        <w:spacing w:after="0"/>
      </w:pPr>
      <w:r>
        <w:t>Also separately, percent of county residents who were black (non-Hispanic), and percent who were Hispanic (non-white, non-black)</w:t>
      </w:r>
      <w:r w:rsidR="00212E03">
        <w:t>. Available from UMass Donohue.</w:t>
      </w:r>
    </w:p>
    <w:p w14:paraId="7BE7230B" w14:textId="77777777" w:rsidR="003910F9" w:rsidRDefault="00212E03">
      <w:r>
        <w:t>Because values of the dependent and independent variables are likely correlated across years, t</w:t>
      </w:r>
      <w:r w:rsidR="00564D48">
        <w:t>he regressions control</w:t>
      </w:r>
      <w:r>
        <w:t>led for</w:t>
      </w:r>
      <w:r w:rsidR="00564D48">
        <w:t xml:space="preserve"> clustering of the</w:t>
      </w:r>
      <w:r>
        <w:t>se</w:t>
      </w:r>
      <w:r w:rsidR="00564D48">
        <w:t xml:space="preserve"> variables by county and year.</w:t>
      </w:r>
    </w:p>
    <w:p w14:paraId="6D3854F4" w14:textId="77777777" w:rsidR="00212E03" w:rsidRPr="00212E03" w:rsidRDefault="00212E03">
      <w:pPr>
        <w:rPr>
          <w:b/>
        </w:rPr>
      </w:pPr>
      <w:r w:rsidRPr="00212E03">
        <w:rPr>
          <w:b/>
        </w:rPr>
        <w:t>Results</w:t>
      </w:r>
    </w:p>
    <w:p w14:paraId="25200D80" w14:textId="77777777" w:rsidR="00212E03" w:rsidRDefault="00212E03">
      <w:r>
        <w:t xml:space="preserve">Figure </w:t>
      </w:r>
      <w:r w:rsidR="00173FC4">
        <w:t>II.</w:t>
      </w:r>
      <w:r>
        <w:t xml:space="preserve">1 below displays changes in county OUD buprenorphine treatment capacity from 2011 through 2018. In all counties, treatment capacity increased across those years, with an accelerating increase in </w:t>
      </w:r>
      <w:r>
        <w:lastRenderedPageBreak/>
        <w:t>the later years. We note also that, although there was a greater range of capacity across the counties in 2018 than in 2011, the relative ranking of counties, based on capacity, remained unchanged.</w:t>
      </w:r>
      <w:r w:rsidR="00FA3F28">
        <w:t xml:space="preserve"> We further observe that each county trajectory has an inflection point in 2015, where the rate of capacity expansion itself increases. This is presumably attributable to the increased patient limit to 275, available beginning in September of 2016. Prescribers waivered for 100 patients would need to have had that status for at least one year prior to applying for the 275-patient limit. As a result, there was a sharp increase in prescribers becoming waivered for 100 patients in 2015, many of whom went on to obtain the 275-patient waiver the following year.</w:t>
      </w:r>
    </w:p>
    <w:p w14:paraId="59B2C0E3" w14:textId="77777777" w:rsidR="009F0EA9" w:rsidRDefault="009F0EA9">
      <w:r>
        <w:rPr>
          <w:noProof/>
        </w:rPr>
        <w:drawing>
          <wp:inline distT="0" distB="0" distL="0" distR="0" wp14:anchorId="593466DB" wp14:editId="4A5ABC9F">
            <wp:extent cx="5143500" cy="37242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9EB90E" w14:textId="77777777" w:rsidR="00212E03" w:rsidRDefault="00212E03">
      <w:r>
        <w:t xml:space="preserve">Figure </w:t>
      </w:r>
      <w:r w:rsidR="00173FC4">
        <w:t>II.</w:t>
      </w:r>
      <w:r>
        <w:t xml:space="preserve">2 displays </w:t>
      </w:r>
      <w:r w:rsidR="005D79AF">
        <w:t xml:space="preserve">changes in </w:t>
      </w:r>
      <w:r>
        <w:t>the actual number of (concurrent) patients treated in each county, 2011 – 2018.</w:t>
      </w:r>
      <w:r w:rsidR="005D79AF">
        <w:t xml:space="preserve"> The picture here is somewhat more complex. Except for Franklin, Hampshire, and Hampden (adjoining counties in the western part of the state), counties exhibit a rough “U”-shaped pattern over time – decreases in patients from 2011/2012 to 2013 – 2015, then an upward tail from 2016 through 2018. Franklin, Hampshire, and Hampden counties exhibit a steadily increasing trend from 2011 through 2018. Although the relative county rankings do change from 2011 to 2018, they do not change a great deal: counties ranking relatively high in actual numbers of patients treated remained relatively high, and counties ranking relatively low remained relatively low.</w:t>
      </w:r>
      <w:r w:rsidR="00D702AB">
        <w:t xml:space="preserve"> There is a somewhat greater dispersion of values in 2018 than in 2011.</w:t>
      </w:r>
    </w:p>
    <w:p w14:paraId="192E19D7" w14:textId="77777777" w:rsidR="00FA3F28" w:rsidRDefault="00FA3F28">
      <w:r>
        <w:t xml:space="preserve">As in Figure </w:t>
      </w:r>
      <w:r w:rsidR="00173FC4">
        <w:t>II.</w:t>
      </w:r>
      <w:r>
        <w:t xml:space="preserve">1, 2015 represents an inflection point for most of the county trajectories in number of patients treated. We found that the average number of patients treated increases for each increase in </w:t>
      </w:r>
      <w:r>
        <w:lastRenderedPageBreak/>
        <w:t>the patient limit waivers, so that as prescribers became waivered for 275 patients, in particular, their average number of patients treated would increase noticeably.</w:t>
      </w:r>
    </w:p>
    <w:p w14:paraId="18A21916" w14:textId="77777777" w:rsidR="009F0EA9" w:rsidRDefault="009F0EA9">
      <w:r>
        <w:rPr>
          <w:noProof/>
        </w:rPr>
        <w:drawing>
          <wp:inline distT="0" distB="0" distL="0" distR="0" wp14:anchorId="1602EA2B" wp14:editId="08DE3543">
            <wp:extent cx="5133975" cy="34099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A91B83" w14:textId="77777777" w:rsidR="00D702AB" w:rsidRDefault="008C2489">
      <w:r>
        <w:t xml:space="preserve">Changes in access to treatment – the ratio of actual number of patients to treatment capacity – are shown in Figure </w:t>
      </w:r>
      <w:r w:rsidR="00173FC4">
        <w:t>II.</w:t>
      </w:r>
      <w:r>
        <w:t>3. In contrast to treatment capacity and the actual number of patients, the range of values across counties decreased from 2011 to 2018; that is, county-level access to treatment tended to converge over time, rather than diverge. As with the actual number of patients, the county rankings in access to treatment remained relatively unchanged from 2011 to 2018. An exception was Franklin County, which rose from well below the median in 2011 to above the median in 2018.</w:t>
      </w:r>
    </w:p>
    <w:p w14:paraId="7B91451B" w14:textId="77777777" w:rsidR="009F0EA9" w:rsidRDefault="009F0EA9">
      <w:r>
        <w:rPr>
          <w:noProof/>
        </w:rPr>
        <w:lastRenderedPageBreak/>
        <w:drawing>
          <wp:inline distT="0" distB="0" distL="0" distR="0" wp14:anchorId="4FAE0350" wp14:editId="61C1E1D6">
            <wp:extent cx="5153025" cy="34861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1518D1" w14:textId="77777777" w:rsidR="008C2489" w:rsidRDefault="008C2489">
      <w:r>
        <w:t xml:space="preserve">Because county-level rank in access to treatment remained relatively unchanged across these years, pooling the data to achieve greater statistical power seems warranted. Table </w:t>
      </w:r>
      <w:r w:rsidR="00173FC4">
        <w:t>II.</w:t>
      </w:r>
      <w:r>
        <w:t xml:space="preserve">1 below provides the results of </w:t>
      </w:r>
      <w:proofErr w:type="spellStart"/>
      <w:r>
        <w:t>tobit</w:t>
      </w:r>
      <w:proofErr w:type="spellEnd"/>
      <w:r>
        <w:t xml:space="preserve"> regressions of access to treatment, in relation to the variables listed above, including county race and ethnicity measures. </w:t>
      </w:r>
      <w:r w:rsidR="00C039B1">
        <w:t xml:space="preserve">Controlling for the other variables, we found that the percent of black residents was significantly negatively associated with access to treatment in both models, i.e., controlling for the percent of residents in poverty or for median household income. That is, across all eight years, counties with a higher proportion of black residents tended to have lower access to treatment. The percent of Hispanic residents was also significantly negatively associated with access to treatment in the model using </w:t>
      </w:r>
      <w:r w:rsidR="00D515E5">
        <w:t>the percent of residents in poverty</w:t>
      </w:r>
      <w:r w:rsidR="00C039B1">
        <w:t>, but only marginally significantly associated in the model using</w:t>
      </w:r>
      <w:r w:rsidR="00D515E5" w:rsidRPr="00D515E5">
        <w:t xml:space="preserve"> </w:t>
      </w:r>
      <w:r w:rsidR="00D515E5">
        <w:t>median household income</w:t>
      </w:r>
      <w:r w:rsidR="00C039B1">
        <w:t>.</w:t>
      </w:r>
    </w:p>
    <w:p w14:paraId="3765D514" w14:textId="77777777" w:rsidR="005D79AF" w:rsidRDefault="00C039B1">
      <w:r>
        <w:t xml:space="preserve">In addition, the opioid-related overdose death rate was significantly negatively associated with access to treatment in both models. </w:t>
      </w:r>
      <w:r w:rsidR="00D515E5">
        <w:t xml:space="preserve">Access to treatment was also associated with poorer counties, in that it was positively associated with the percent of residents in poverty and negatively associated with median household income. </w:t>
      </w:r>
    </w:p>
    <w:p w14:paraId="58AC4139" w14:textId="77777777" w:rsidR="0012578A" w:rsidRDefault="0012578A"/>
    <w:p w14:paraId="634F0331" w14:textId="77777777" w:rsidR="0012578A" w:rsidRDefault="0012578A"/>
    <w:p w14:paraId="693A66AF" w14:textId="77777777" w:rsidR="0012578A" w:rsidRDefault="0012578A"/>
    <w:p w14:paraId="00823965" w14:textId="77777777" w:rsidR="0012578A" w:rsidRDefault="0012578A"/>
    <w:p w14:paraId="1EE087CC" w14:textId="77777777" w:rsidR="006A48D6" w:rsidRDefault="006A48D6"/>
    <w:p w14:paraId="26C6681E" w14:textId="77777777" w:rsidR="006A48D6" w:rsidRDefault="006A48D6">
      <w:pPr>
        <w:sectPr w:rsidR="006A48D6" w:rsidSect="001E37B7">
          <w:footerReference w:type="default" r:id="rId11"/>
          <w:pgSz w:w="12240" w:h="15840"/>
          <w:pgMar w:top="1440" w:right="1440" w:bottom="1440" w:left="1440" w:header="720" w:footer="720" w:gutter="0"/>
          <w:cols w:space="720"/>
          <w:titlePg/>
          <w:docGrid w:linePitch="360"/>
        </w:sectPr>
      </w:pPr>
    </w:p>
    <w:p w14:paraId="2494FF0F" w14:textId="77777777" w:rsidR="00682E75" w:rsidRDefault="00A61C8F" w:rsidP="00682E75">
      <w:pPr>
        <w:rPr>
          <w:b/>
        </w:rPr>
      </w:pPr>
      <w:r>
        <w:rPr>
          <w:b/>
        </w:rPr>
        <w:lastRenderedPageBreak/>
        <w:t xml:space="preserve">Table </w:t>
      </w:r>
      <w:r w:rsidR="007F59BF">
        <w:rPr>
          <w:b/>
        </w:rPr>
        <w:t>II.</w:t>
      </w:r>
      <w:r>
        <w:rPr>
          <w:b/>
        </w:rPr>
        <w:t xml:space="preserve">1: </w:t>
      </w:r>
      <w:r w:rsidR="00682E75">
        <w:rPr>
          <w:b/>
        </w:rPr>
        <w:t>Racial/Ethnic Disparities in Access to Buprenorphine Treatment by Massachusetts County, 2011 - 2018</w:t>
      </w:r>
    </w:p>
    <w:p w14:paraId="0309AE78" w14:textId="77777777" w:rsidR="00682E75" w:rsidRDefault="007F59BF" w:rsidP="00682E75">
      <w:pPr>
        <w:spacing w:after="0"/>
      </w:pPr>
      <w:r>
        <w:rPr>
          <w:b/>
        </w:rPr>
        <w:t>II.</w:t>
      </w:r>
      <w:r w:rsidR="00820D97">
        <w:rPr>
          <w:b/>
        </w:rPr>
        <w:t xml:space="preserve">1a. </w:t>
      </w:r>
      <w:r w:rsidR="00682E75" w:rsidRPr="00E52C9F">
        <w:rPr>
          <w:b/>
        </w:rPr>
        <w:t xml:space="preserve">Dependent variable: </w:t>
      </w:r>
      <w:r w:rsidR="00682E75">
        <w:rPr>
          <w:b/>
        </w:rPr>
        <w:t>Access to Treatment</w:t>
      </w:r>
    </w:p>
    <w:tbl>
      <w:tblPr>
        <w:tblStyle w:val="TableGrid"/>
        <w:tblW w:w="13454" w:type="dxa"/>
        <w:tblLook w:val="04A0" w:firstRow="1" w:lastRow="0" w:firstColumn="1" w:lastColumn="0" w:noHBand="0" w:noVBand="1"/>
      </w:tblPr>
      <w:tblGrid>
        <w:gridCol w:w="4608"/>
        <w:gridCol w:w="1440"/>
        <w:gridCol w:w="1440"/>
        <w:gridCol w:w="1350"/>
        <w:gridCol w:w="1620"/>
        <w:gridCol w:w="1530"/>
        <w:gridCol w:w="1466"/>
      </w:tblGrid>
      <w:tr w:rsidR="00FB5032" w14:paraId="40C1A93A" w14:textId="77777777" w:rsidTr="00173FC4">
        <w:tc>
          <w:tcPr>
            <w:tcW w:w="4608" w:type="dxa"/>
            <w:vAlign w:val="center"/>
          </w:tcPr>
          <w:p w14:paraId="2576DC6B" w14:textId="77777777" w:rsidR="00FB5032" w:rsidRPr="00E52C9F" w:rsidRDefault="00FB5032" w:rsidP="00820D97">
            <w:pPr>
              <w:jc w:val="center"/>
              <w:rPr>
                <w:b/>
              </w:rPr>
            </w:pPr>
            <w:r w:rsidRPr="00E52C9F">
              <w:rPr>
                <w:b/>
              </w:rPr>
              <w:t>Ind. variables</w:t>
            </w:r>
          </w:p>
        </w:tc>
        <w:tc>
          <w:tcPr>
            <w:tcW w:w="1440" w:type="dxa"/>
            <w:vAlign w:val="center"/>
          </w:tcPr>
          <w:p w14:paraId="5BF2B426" w14:textId="77777777" w:rsidR="00FB5032" w:rsidRPr="00E52C9F" w:rsidRDefault="00FB5032" w:rsidP="00820D97">
            <w:pPr>
              <w:jc w:val="center"/>
              <w:rPr>
                <w:b/>
              </w:rPr>
            </w:pPr>
            <w:r w:rsidRPr="00E52C9F">
              <w:rPr>
                <w:b/>
              </w:rPr>
              <w:t>Coefficient</w:t>
            </w:r>
          </w:p>
        </w:tc>
        <w:tc>
          <w:tcPr>
            <w:tcW w:w="1440" w:type="dxa"/>
            <w:vAlign w:val="center"/>
          </w:tcPr>
          <w:p w14:paraId="08F602A4" w14:textId="77777777" w:rsidR="00FB5032" w:rsidRPr="00E52C9F" w:rsidRDefault="00FB5032" w:rsidP="00820D97">
            <w:pPr>
              <w:jc w:val="center"/>
              <w:rPr>
                <w:b/>
              </w:rPr>
            </w:pPr>
            <w:r>
              <w:rPr>
                <w:b/>
              </w:rPr>
              <w:t>Std. error</w:t>
            </w:r>
          </w:p>
        </w:tc>
        <w:tc>
          <w:tcPr>
            <w:tcW w:w="1350" w:type="dxa"/>
            <w:vAlign w:val="center"/>
          </w:tcPr>
          <w:p w14:paraId="60D00DDD" w14:textId="77777777" w:rsidR="00FB5032" w:rsidRPr="00E52C9F" w:rsidRDefault="00FB5032" w:rsidP="00820D97">
            <w:pPr>
              <w:jc w:val="center"/>
              <w:rPr>
                <w:b/>
              </w:rPr>
            </w:pPr>
            <w:r>
              <w:rPr>
                <w:b/>
              </w:rPr>
              <w:t>P-value</w:t>
            </w:r>
          </w:p>
        </w:tc>
        <w:tc>
          <w:tcPr>
            <w:tcW w:w="1620" w:type="dxa"/>
            <w:vAlign w:val="center"/>
          </w:tcPr>
          <w:p w14:paraId="28B0D1A5" w14:textId="77777777" w:rsidR="00FB5032" w:rsidRPr="00E52C9F" w:rsidRDefault="00FB5032" w:rsidP="00820D97">
            <w:pPr>
              <w:jc w:val="center"/>
              <w:rPr>
                <w:b/>
              </w:rPr>
            </w:pPr>
            <w:r w:rsidRPr="00E52C9F">
              <w:rPr>
                <w:b/>
              </w:rPr>
              <w:t>Coefficient</w:t>
            </w:r>
          </w:p>
        </w:tc>
        <w:tc>
          <w:tcPr>
            <w:tcW w:w="1530" w:type="dxa"/>
            <w:vAlign w:val="center"/>
          </w:tcPr>
          <w:p w14:paraId="2267722C" w14:textId="77777777" w:rsidR="00FB5032" w:rsidRPr="00E52C9F" w:rsidRDefault="00FB5032" w:rsidP="00820D97">
            <w:pPr>
              <w:jc w:val="center"/>
              <w:rPr>
                <w:b/>
              </w:rPr>
            </w:pPr>
            <w:r>
              <w:rPr>
                <w:b/>
              </w:rPr>
              <w:t>Std. error</w:t>
            </w:r>
          </w:p>
        </w:tc>
        <w:tc>
          <w:tcPr>
            <w:tcW w:w="1466" w:type="dxa"/>
            <w:vAlign w:val="center"/>
          </w:tcPr>
          <w:p w14:paraId="7593C38B" w14:textId="77777777" w:rsidR="00FB5032" w:rsidRPr="00E52C9F" w:rsidRDefault="00FB5032" w:rsidP="00820D97">
            <w:pPr>
              <w:jc w:val="center"/>
              <w:rPr>
                <w:b/>
              </w:rPr>
            </w:pPr>
            <w:r>
              <w:rPr>
                <w:b/>
              </w:rPr>
              <w:t>P-value</w:t>
            </w:r>
          </w:p>
        </w:tc>
      </w:tr>
      <w:tr w:rsidR="00682E75" w14:paraId="61178284" w14:textId="77777777" w:rsidTr="00173FC4">
        <w:tc>
          <w:tcPr>
            <w:tcW w:w="4608" w:type="dxa"/>
            <w:vAlign w:val="center"/>
          </w:tcPr>
          <w:p w14:paraId="6085E81D" w14:textId="77777777" w:rsidR="00682E75" w:rsidRDefault="007E46AA" w:rsidP="00953B3B">
            <w:r>
              <w:t>Number of</w:t>
            </w:r>
            <w:r w:rsidR="00682E75">
              <w:t xml:space="preserve"> </w:t>
            </w:r>
            <w:r w:rsidR="00953B3B">
              <w:t xml:space="preserve">waivered </w:t>
            </w:r>
            <w:r w:rsidR="00682E75">
              <w:t>prescribers</w:t>
            </w:r>
            <w:r w:rsidR="00173FC4">
              <w:t xml:space="preserve"> per 10,000 population</w:t>
            </w:r>
          </w:p>
        </w:tc>
        <w:tc>
          <w:tcPr>
            <w:tcW w:w="1440" w:type="dxa"/>
            <w:vAlign w:val="center"/>
          </w:tcPr>
          <w:p w14:paraId="0C269CC5" w14:textId="77777777" w:rsidR="00682E75" w:rsidRPr="00953B3B" w:rsidRDefault="00953B3B" w:rsidP="00546B85">
            <w:pPr>
              <w:jc w:val="center"/>
              <w:rPr>
                <w:b/>
              </w:rPr>
            </w:pPr>
            <w:r w:rsidRPr="00953B3B">
              <w:rPr>
                <w:b/>
              </w:rPr>
              <w:t>-.0179</w:t>
            </w:r>
          </w:p>
        </w:tc>
        <w:tc>
          <w:tcPr>
            <w:tcW w:w="1440" w:type="dxa"/>
            <w:vAlign w:val="center"/>
          </w:tcPr>
          <w:p w14:paraId="4058EB30" w14:textId="77777777" w:rsidR="00682E75" w:rsidRPr="00953B3B" w:rsidRDefault="00953B3B" w:rsidP="00546B85">
            <w:pPr>
              <w:jc w:val="center"/>
              <w:rPr>
                <w:b/>
              </w:rPr>
            </w:pPr>
            <w:r w:rsidRPr="00953B3B">
              <w:rPr>
                <w:b/>
              </w:rPr>
              <w:t>.0051</w:t>
            </w:r>
          </w:p>
        </w:tc>
        <w:tc>
          <w:tcPr>
            <w:tcW w:w="1350" w:type="dxa"/>
            <w:vAlign w:val="center"/>
          </w:tcPr>
          <w:p w14:paraId="2E435E11" w14:textId="77777777" w:rsidR="00682E75" w:rsidRPr="00953B3B" w:rsidRDefault="00953B3B" w:rsidP="00546B85">
            <w:pPr>
              <w:jc w:val="center"/>
              <w:rPr>
                <w:b/>
              </w:rPr>
            </w:pPr>
            <w:r w:rsidRPr="00953B3B">
              <w:rPr>
                <w:b/>
              </w:rPr>
              <w:t>&lt; .001</w:t>
            </w:r>
          </w:p>
        </w:tc>
        <w:tc>
          <w:tcPr>
            <w:tcW w:w="1620" w:type="dxa"/>
            <w:vAlign w:val="center"/>
          </w:tcPr>
          <w:p w14:paraId="697C6C8B" w14:textId="77777777" w:rsidR="00682E75" w:rsidRPr="00953B3B" w:rsidRDefault="00953B3B" w:rsidP="00546B85">
            <w:pPr>
              <w:jc w:val="center"/>
              <w:rPr>
                <w:b/>
              </w:rPr>
            </w:pPr>
            <w:r w:rsidRPr="00953B3B">
              <w:rPr>
                <w:b/>
              </w:rPr>
              <w:t>-.0242</w:t>
            </w:r>
          </w:p>
        </w:tc>
        <w:tc>
          <w:tcPr>
            <w:tcW w:w="1530" w:type="dxa"/>
            <w:vAlign w:val="center"/>
          </w:tcPr>
          <w:p w14:paraId="655CFD71" w14:textId="77777777" w:rsidR="00682E75" w:rsidRPr="00953B3B" w:rsidRDefault="00953B3B" w:rsidP="00546B85">
            <w:pPr>
              <w:jc w:val="center"/>
              <w:rPr>
                <w:b/>
              </w:rPr>
            </w:pPr>
            <w:r w:rsidRPr="00953B3B">
              <w:rPr>
                <w:b/>
              </w:rPr>
              <w:t>.0052</w:t>
            </w:r>
          </w:p>
        </w:tc>
        <w:tc>
          <w:tcPr>
            <w:tcW w:w="1466" w:type="dxa"/>
            <w:vAlign w:val="center"/>
          </w:tcPr>
          <w:p w14:paraId="3B73B5F0" w14:textId="77777777" w:rsidR="00682E75" w:rsidRPr="00953B3B" w:rsidRDefault="00953B3B" w:rsidP="00546B85">
            <w:pPr>
              <w:jc w:val="center"/>
              <w:rPr>
                <w:b/>
              </w:rPr>
            </w:pPr>
            <w:r w:rsidRPr="00953B3B">
              <w:rPr>
                <w:b/>
              </w:rPr>
              <w:t>&lt; .001</w:t>
            </w:r>
          </w:p>
        </w:tc>
      </w:tr>
      <w:tr w:rsidR="00682E75" w14:paraId="39AB1C91" w14:textId="77777777" w:rsidTr="00173FC4">
        <w:tc>
          <w:tcPr>
            <w:tcW w:w="4608" w:type="dxa"/>
            <w:vAlign w:val="center"/>
          </w:tcPr>
          <w:p w14:paraId="5DF6E2FC" w14:textId="77777777" w:rsidR="00682E75" w:rsidRDefault="00682E75" w:rsidP="00EE27A1">
            <w:r>
              <w:t xml:space="preserve">OD death </w:t>
            </w:r>
            <w:r w:rsidR="00EE27A1">
              <w:t>rate,</w:t>
            </w:r>
            <w:r>
              <w:t xml:space="preserve"> lagged 1 year</w:t>
            </w:r>
          </w:p>
        </w:tc>
        <w:tc>
          <w:tcPr>
            <w:tcW w:w="1440" w:type="dxa"/>
            <w:vAlign w:val="center"/>
          </w:tcPr>
          <w:p w14:paraId="636EC000" w14:textId="77777777" w:rsidR="00682E75" w:rsidRPr="00761EB9" w:rsidRDefault="00953B3B" w:rsidP="00546B85">
            <w:pPr>
              <w:jc w:val="center"/>
              <w:rPr>
                <w:b/>
              </w:rPr>
            </w:pPr>
            <w:r>
              <w:rPr>
                <w:b/>
              </w:rPr>
              <w:t>-.0036</w:t>
            </w:r>
          </w:p>
        </w:tc>
        <w:tc>
          <w:tcPr>
            <w:tcW w:w="1440" w:type="dxa"/>
            <w:vAlign w:val="center"/>
          </w:tcPr>
          <w:p w14:paraId="2AC8B3C4" w14:textId="77777777" w:rsidR="00682E75" w:rsidRPr="00761EB9" w:rsidRDefault="00953B3B" w:rsidP="00546B85">
            <w:pPr>
              <w:jc w:val="center"/>
              <w:rPr>
                <w:b/>
              </w:rPr>
            </w:pPr>
            <w:r>
              <w:rPr>
                <w:b/>
              </w:rPr>
              <w:t>.0010</w:t>
            </w:r>
          </w:p>
        </w:tc>
        <w:tc>
          <w:tcPr>
            <w:tcW w:w="1350" w:type="dxa"/>
            <w:vAlign w:val="center"/>
          </w:tcPr>
          <w:p w14:paraId="70A53207" w14:textId="77777777" w:rsidR="00682E75" w:rsidRPr="00761EB9" w:rsidRDefault="00953B3B" w:rsidP="00546B85">
            <w:pPr>
              <w:jc w:val="center"/>
              <w:rPr>
                <w:b/>
              </w:rPr>
            </w:pPr>
            <w:r>
              <w:rPr>
                <w:b/>
              </w:rPr>
              <w:t>&lt; .001</w:t>
            </w:r>
          </w:p>
        </w:tc>
        <w:tc>
          <w:tcPr>
            <w:tcW w:w="1620" w:type="dxa"/>
            <w:vAlign w:val="center"/>
          </w:tcPr>
          <w:p w14:paraId="0C7D2FDB" w14:textId="77777777" w:rsidR="00682E75" w:rsidRPr="00761EB9" w:rsidRDefault="00953B3B" w:rsidP="00546B85">
            <w:pPr>
              <w:jc w:val="center"/>
              <w:rPr>
                <w:b/>
              </w:rPr>
            </w:pPr>
            <w:r>
              <w:rPr>
                <w:b/>
              </w:rPr>
              <w:t>-.0034</w:t>
            </w:r>
          </w:p>
        </w:tc>
        <w:tc>
          <w:tcPr>
            <w:tcW w:w="1530" w:type="dxa"/>
            <w:vAlign w:val="center"/>
          </w:tcPr>
          <w:p w14:paraId="39A19B08" w14:textId="77777777" w:rsidR="00682E75" w:rsidRPr="00761EB9" w:rsidRDefault="00953B3B" w:rsidP="00546B85">
            <w:pPr>
              <w:jc w:val="center"/>
              <w:rPr>
                <w:b/>
              </w:rPr>
            </w:pPr>
            <w:r>
              <w:rPr>
                <w:b/>
              </w:rPr>
              <w:t>.0011</w:t>
            </w:r>
          </w:p>
        </w:tc>
        <w:tc>
          <w:tcPr>
            <w:tcW w:w="1466" w:type="dxa"/>
            <w:vAlign w:val="center"/>
          </w:tcPr>
          <w:p w14:paraId="07C55DC6" w14:textId="77777777" w:rsidR="00682E75" w:rsidRPr="00761EB9" w:rsidRDefault="00953B3B" w:rsidP="00546B85">
            <w:pPr>
              <w:jc w:val="center"/>
              <w:rPr>
                <w:b/>
              </w:rPr>
            </w:pPr>
            <w:r>
              <w:rPr>
                <w:b/>
              </w:rPr>
              <w:t>.002</w:t>
            </w:r>
          </w:p>
        </w:tc>
      </w:tr>
      <w:tr w:rsidR="00682E75" w14:paraId="6E45C691" w14:textId="77777777" w:rsidTr="00173FC4">
        <w:tc>
          <w:tcPr>
            <w:tcW w:w="4608" w:type="dxa"/>
            <w:vAlign w:val="center"/>
          </w:tcPr>
          <w:p w14:paraId="7473C3E2" w14:textId="77777777" w:rsidR="00682E75" w:rsidRDefault="00682E75" w:rsidP="00820D97">
            <w:r>
              <w:t>Methadone clinics per 100,000 pop.</w:t>
            </w:r>
          </w:p>
        </w:tc>
        <w:tc>
          <w:tcPr>
            <w:tcW w:w="1440" w:type="dxa"/>
            <w:vAlign w:val="center"/>
          </w:tcPr>
          <w:p w14:paraId="182EB3CF" w14:textId="77777777" w:rsidR="00682E75" w:rsidRDefault="00953B3B" w:rsidP="00546B85">
            <w:pPr>
              <w:jc w:val="center"/>
            </w:pPr>
            <w:r>
              <w:t>.0213</w:t>
            </w:r>
          </w:p>
        </w:tc>
        <w:tc>
          <w:tcPr>
            <w:tcW w:w="1440" w:type="dxa"/>
            <w:vAlign w:val="center"/>
          </w:tcPr>
          <w:p w14:paraId="52B4C5AB" w14:textId="77777777" w:rsidR="00682E75" w:rsidRDefault="00953B3B" w:rsidP="00546B85">
            <w:pPr>
              <w:jc w:val="center"/>
            </w:pPr>
            <w:r>
              <w:t>.0283</w:t>
            </w:r>
          </w:p>
        </w:tc>
        <w:tc>
          <w:tcPr>
            <w:tcW w:w="1350" w:type="dxa"/>
            <w:vAlign w:val="center"/>
          </w:tcPr>
          <w:p w14:paraId="7C10172C" w14:textId="77777777" w:rsidR="00682E75" w:rsidRDefault="00953B3B" w:rsidP="00546B85">
            <w:pPr>
              <w:jc w:val="center"/>
            </w:pPr>
            <w:r>
              <w:t>.451</w:t>
            </w:r>
          </w:p>
        </w:tc>
        <w:tc>
          <w:tcPr>
            <w:tcW w:w="1620" w:type="dxa"/>
            <w:vAlign w:val="center"/>
          </w:tcPr>
          <w:p w14:paraId="1055DBF6" w14:textId="77777777" w:rsidR="00682E75" w:rsidRDefault="00953B3B" w:rsidP="00546B85">
            <w:pPr>
              <w:jc w:val="center"/>
            </w:pPr>
            <w:r>
              <w:t>.0556</w:t>
            </w:r>
          </w:p>
        </w:tc>
        <w:tc>
          <w:tcPr>
            <w:tcW w:w="1530" w:type="dxa"/>
            <w:vAlign w:val="center"/>
          </w:tcPr>
          <w:p w14:paraId="48E43246" w14:textId="77777777" w:rsidR="00682E75" w:rsidRPr="00EE27A1" w:rsidRDefault="00953B3B" w:rsidP="00546B85">
            <w:pPr>
              <w:jc w:val="center"/>
            </w:pPr>
            <w:r>
              <w:t>.0286</w:t>
            </w:r>
          </w:p>
        </w:tc>
        <w:tc>
          <w:tcPr>
            <w:tcW w:w="1466" w:type="dxa"/>
            <w:vAlign w:val="center"/>
          </w:tcPr>
          <w:p w14:paraId="75699353" w14:textId="77777777" w:rsidR="00682E75" w:rsidRPr="00EE27A1" w:rsidRDefault="00953B3B" w:rsidP="00546B85">
            <w:pPr>
              <w:jc w:val="center"/>
            </w:pPr>
            <w:r>
              <w:t>.052</w:t>
            </w:r>
          </w:p>
        </w:tc>
      </w:tr>
      <w:tr w:rsidR="00682E75" w14:paraId="1B6C05C2" w14:textId="77777777" w:rsidTr="00173FC4">
        <w:tc>
          <w:tcPr>
            <w:tcW w:w="4608" w:type="dxa"/>
            <w:vAlign w:val="center"/>
          </w:tcPr>
          <w:p w14:paraId="05DFACC7" w14:textId="77777777" w:rsidR="00682E75" w:rsidRDefault="007E46AA" w:rsidP="00820D97">
            <w:r>
              <w:t>Percent of population in poverty</w:t>
            </w:r>
          </w:p>
        </w:tc>
        <w:tc>
          <w:tcPr>
            <w:tcW w:w="1440" w:type="dxa"/>
            <w:vAlign w:val="center"/>
          </w:tcPr>
          <w:p w14:paraId="70F40AC2" w14:textId="77777777" w:rsidR="00682E75" w:rsidRPr="00953B3B" w:rsidRDefault="00953B3B" w:rsidP="00546B85">
            <w:pPr>
              <w:jc w:val="center"/>
              <w:rPr>
                <w:b/>
              </w:rPr>
            </w:pPr>
            <w:r w:rsidRPr="00953B3B">
              <w:rPr>
                <w:b/>
              </w:rPr>
              <w:t>.0060</w:t>
            </w:r>
          </w:p>
        </w:tc>
        <w:tc>
          <w:tcPr>
            <w:tcW w:w="1440" w:type="dxa"/>
            <w:vAlign w:val="center"/>
          </w:tcPr>
          <w:p w14:paraId="5D4DA4B8" w14:textId="77777777" w:rsidR="00682E75" w:rsidRPr="00953B3B" w:rsidRDefault="00953B3B" w:rsidP="00546B85">
            <w:pPr>
              <w:jc w:val="center"/>
              <w:rPr>
                <w:b/>
              </w:rPr>
            </w:pPr>
            <w:r w:rsidRPr="00953B3B">
              <w:rPr>
                <w:b/>
              </w:rPr>
              <w:t>.0030</w:t>
            </w:r>
          </w:p>
        </w:tc>
        <w:tc>
          <w:tcPr>
            <w:tcW w:w="1350" w:type="dxa"/>
            <w:vAlign w:val="center"/>
          </w:tcPr>
          <w:p w14:paraId="06B50495" w14:textId="77777777" w:rsidR="00682E75" w:rsidRPr="00953B3B" w:rsidRDefault="00953B3B" w:rsidP="00546B85">
            <w:pPr>
              <w:jc w:val="center"/>
              <w:rPr>
                <w:b/>
              </w:rPr>
            </w:pPr>
            <w:r w:rsidRPr="00953B3B">
              <w:rPr>
                <w:b/>
              </w:rPr>
              <w:t>.046</w:t>
            </w:r>
          </w:p>
        </w:tc>
        <w:tc>
          <w:tcPr>
            <w:tcW w:w="1620" w:type="dxa"/>
            <w:vAlign w:val="center"/>
          </w:tcPr>
          <w:p w14:paraId="697D8485" w14:textId="77777777" w:rsidR="00682E75" w:rsidRPr="00953B3B" w:rsidRDefault="00953B3B" w:rsidP="00546B85">
            <w:pPr>
              <w:jc w:val="center"/>
              <w:rPr>
                <w:b/>
              </w:rPr>
            </w:pPr>
            <w:r w:rsidRPr="00953B3B">
              <w:rPr>
                <w:b/>
              </w:rPr>
              <w:t>.0069</w:t>
            </w:r>
          </w:p>
        </w:tc>
        <w:tc>
          <w:tcPr>
            <w:tcW w:w="1530" w:type="dxa"/>
            <w:vAlign w:val="center"/>
          </w:tcPr>
          <w:p w14:paraId="0F51CB98" w14:textId="77777777" w:rsidR="00682E75" w:rsidRPr="00953B3B" w:rsidRDefault="00953B3B" w:rsidP="00546B85">
            <w:pPr>
              <w:jc w:val="center"/>
              <w:rPr>
                <w:b/>
              </w:rPr>
            </w:pPr>
            <w:r w:rsidRPr="00953B3B">
              <w:rPr>
                <w:b/>
              </w:rPr>
              <w:t>.0035</w:t>
            </w:r>
          </w:p>
        </w:tc>
        <w:tc>
          <w:tcPr>
            <w:tcW w:w="1466" w:type="dxa"/>
            <w:vAlign w:val="center"/>
          </w:tcPr>
          <w:p w14:paraId="4FFC4190" w14:textId="77777777" w:rsidR="00682E75" w:rsidRPr="00953B3B" w:rsidRDefault="00953B3B" w:rsidP="00546B85">
            <w:pPr>
              <w:jc w:val="center"/>
              <w:rPr>
                <w:b/>
              </w:rPr>
            </w:pPr>
            <w:r w:rsidRPr="00953B3B">
              <w:rPr>
                <w:b/>
              </w:rPr>
              <w:t>.048</w:t>
            </w:r>
          </w:p>
        </w:tc>
      </w:tr>
      <w:tr w:rsidR="00682E75" w14:paraId="15D50E83" w14:textId="77777777" w:rsidTr="00173FC4">
        <w:tc>
          <w:tcPr>
            <w:tcW w:w="4608" w:type="dxa"/>
            <w:vAlign w:val="center"/>
          </w:tcPr>
          <w:p w14:paraId="1A25B227" w14:textId="77777777" w:rsidR="00682E75" w:rsidRDefault="00682E75" w:rsidP="00820D97">
            <w:r>
              <w:t>Percent black</w:t>
            </w:r>
          </w:p>
        </w:tc>
        <w:tc>
          <w:tcPr>
            <w:tcW w:w="1440" w:type="dxa"/>
            <w:vAlign w:val="center"/>
          </w:tcPr>
          <w:p w14:paraId="3330515E" w14:textId="77777777" w:rsidR="00682E75" w:rsidRPr="00761EB9" w:rsidRDefault="00953B3B" w:rsidP="00546B85">
            <w:pPr>
              <w:jc w:val="center"/>
              <w:rPr>
                <w:b/>
              </w:rPr>
            </w:pPr>
            <w:r>
              <w:rPr>
                <w:b/>
              </w:rPr>
              <w:t>-.7645</w:t>
            </w:r>
          </w:p>
        </w:tc>
        <w:tc>
          <w:tcPr>
            <w:tcW w:w="1440" w:type="dxa"/>
            <w:vAlign w:val="center"/>
          </w:tcPr>
          <w:p w14:paraId="5FAE5CC3" w14:textId="77777777" w:rsidR="00682E75" w:rsidRPr="00761EB9" w:rsidRDefault="00953B3B" w:rsidP="00546B85">
            <w:pPr>
              <w:jc w:val="center"/>
              <w:rPr>
                <w:b/>
              </w:rPr>
            </w:pPr>
            <w:r>
              <w:rPr>
                <w:b/>
              </w:rPr>
              <w:t>.1912</w:t>
            </w:r>
          </w:p>
        </w:tc>
        <w:tc>
          <w:tcPr>
            <w:tcW w:w="1350" w:type="dxa"/>
            <w:vAlign w:val="center"/>
          </w:tcPr>
          <w:p w14:paraId="3F2987F8" w14:textId="77777777" w:rsidR="00682E75" w:rsidRPr="00761EB9" w:rsidRDefault="00953B3B" w:rsidP="00546B85">
            <w:pPr>
              <w:jc w:val="center"/>
              <w:rPr>
                <w:b/>
              </w:rPr>
            </w:pPr>
            <w:r>
              <w:rPr>
                <w:b/>
              </w:rPr>
              <w:t>&lt; .001</w:t>
            </w:r>
          </w:p>
        </w:tc>
        <w:tc>
          <w:tcPr>
            <w:tcW w:w="1620" w:type="dxa"/>
            <w:vAlign w:val="center"/>
          </w:tcPr>
          <w:p w14:paraId="37521AD9" w14:textId="77777777" w:rsidR="00682E75" w:rsidRPr="0022567A" w:rsidRDefault="00953B3B" w:rsidP="00546B85">
            <w:pPr>
              <w:jc w:val="center"/>
              <w:rPr>
                <w:b/>
              </w:rPr>
            </w:pPr>
            <w:r>
              <w:rPr>
                <w:b/>
              </w:rPr>
              <w:t>-</w:t>
            </w:r>
          </w:p>
        </w:tc>
        <w:tc>
          <w:tcPr>
            <w:tcW w:w="1530" w:type="dxa"/>
            <w:vAlign w:val="center"/>
          </w:tcPr>
          <w:p w14:paraId="63DCC3EE" w14:textId="77777777" w:rsidR="00682E75" w:rsidRPr="00EE27A1" w:rsidRDefault="00953B3B" w:rsidP="00546B85">
            <w:pPr>
              <w:jc w:val="center"/>
            </w:pPr>
            <w:r>
              <w:t>-</w:t>
            </w:r>
          </w:p>
        </w:tc>
        <w:tc>
          <w:tcPr>
            <w:tcW w:w="1466" w:type="dxa"/>
            <w:vAlign w:val="center"/>
          </w:tcPr>
          <w:p w14:paraId="27557E25" w14:textId="77777777" w:rsidR="00682E75" w:rsidRPr="00EE27A1" w:rsidRDefault="00953B3B" w:rsidP="00546B85">
            <w:pPr>
              <w:jc w:val="center"/>
            </w:pPr>
            <w:r>
              <w:t>-</w:t>
            </w:r>
          </w:p>
        </w:tc>
      </w:tr>
      <w:tr w:rsidR="00682E75" w14:paraId="3E4F0A57" w14:textId="77777777" w:rsidTr="00173FC4">
        <w:tc>
          <w:tcPr>
            <w:tcW w:w="4608" w:type="dxa"/>
            <w:vAlign w:val="center"/>
          </w:tcPr>
          <w:p w14:paraId="299A6C7E" w14:textId="77777777" w:rsidR="00682E75" w:rsidRDefault="00682E75" w:rsidP="00820D97">
            <w:r>
              <w:t>Percent Hispanic</w:t>
            </w:r>
          </w:p>
        </w:tc>
        <w:tc>
          <w:tcPr>
            <w:tcW w:w="1440" w:type="dxa"/>
            <w:vAlign w:val="center"/>
          </w:tcPr>
          <w:p w14:paraId="2440DA64" w14:textId="77777777" w:rsidR="00682E75" w:rsidRPr="00EE27A1" w:rsidRDefault="00953B3B" w:rsidP="00546B85">
            <w:pPr>
              <w:jc w:val="center"/>
            </w:pPr>
            <w:r>
              <w:t>-</w:t>
            </w:r>
          </w:p>
        </w:tc>
        <w:tc>
          <w:tcPr>
            <w:tcW w:w="1440" w:type="dxa"/>
            <w:vAlign w:val="center"/>
          </w:tcPr>
          <w:p w14:paraId="67070624" w14:textId="77777777" w:rsidR="00682E75" w:rsidRPr="00EE27A1" w:rsidRDefault="00953B3B" w:rsidP="00546B85">
            <w:pPr>
              <w:jc w:val="center"/>
            </w:pPr>
            <w:r>
              <w:t>-</w:t>
            </w:r>
          </w:p>
        </w:tc>
        <w:tc>
          <w:tcPr>
            <w:tcW w:w="1350" w:type="dxa"/>
            <w:vAlign w:val="center"/>
          </w:tcPr>
          <w:p w14:paraId="13838ECA" w14:textId="77777777" w:rsidR="00682E75" w:rsidRPr="00EE27A1" w:rsidRDefault="00953B3B" w:rsidP="00546B85">
            <w:pPr>
              <w:jc w:val="center"/>
            </w:pPr>
            <w:r>
              <w:t>-</w:t>
            </w:r>
          </w:p>
        </w:tc>
        <w:tc>
          <w:tcPr>
            <w:tcW w:w="1620" w:type="dxa"/>
            <w:vAlign w:val="center"/>
          </w:tcPr>
          <w:p w14:paraId="39098A97" w14:textId="77777777" w:rsidR="00682E75" w:rsidRPr="00953B3B" w:rsidRDefault="00953B3B" w:rsidP="00546B85">
            <w:pPr>
              <w:jc w:val="center"/>
              <w:rPr>
                <w:b/>
              </w:rPr>
            </w:pPr>
            <w:r w:rsidRPr="00953B3B">
              <w:rPr>
                <w:b/>
              </w:rPr>
              <w:t>-.5079</w:t>
            </w:r>
          </w:p>
        </w:tc>
        <w:tc>
          <w:tcPr>
            <w:tcW w:w="1530" w:type="dxa"/>
            <w:vAlign w:val="center"/>
          </w:tcPr>
          <w:p w14:paraId="3E1686F7" w14:textId="77777777" w:rsidR="00682E75" w:rsidRPr="00953B3B" w:rsidRDefault="00953B3B" w:rsidP="00546B85">
            <w:pPr>
              <w:jc w:val="center"/>
              <w:rPr>
                <w:b/>
              </w:rPr>
            </w:pPr>
            <w:r w:rsidRPr="00953B3B">
              <w:rPr>
                <w:b/>
              </w:rPr>
              <w:t>.1613</w:t>
            </w:r>
          </w:p>
        </w:tc>
        <w:tc>
          <w:tcPr>
            <w:tcW w:w="1466" w:type="dxa"/>
            <w:vAlign w:val="center"/>
          </w:tcPr>
          <w:p w14:paraId="01448FD8" w14:textId="77777777" w:rsidR="00682E75" w:rsidRPr="00953B3B" w:rsidRDefault="00953B3B" w:rsidP="00546B85">
            <w:pPr>
              <w:jc w:val="center"/>
              <w:rPr>
                <w:b/>
              </w:rPr>
            </w:pPr>
            <w:r w:rsidRPr="00953B3B">
              <w:rPr>
                <w:b/>
              </w:rPr>
              <w:t>.002</w:t>
            </w:r>
          </w:p>
        </w:tc>
      </w:tr>
      <w:tr w:rsidR="00682E75" w14:paraId="4A5F0F95" w14:textId="77777777" w:rsidTr="00173FC4">
        <w:tc>
          <w:tcPr>
            <w:tcW w:w="4608" w:type="dxa"/>
            <w:vAlign w:val="center"/>
          </w:tcPr>
          <w:p w14:paraId="794C8046" w14:textId="77777777" w:rsidR="00682E75" w:rsidRDefault="00682E75" w:rsidP="00820D97">
            <w:r>
              <w:t>Constant</w:t>
            </w:r>
          </w:p>
        </w:tc>
        <w:tc>
          <w:tcPr>
            <w:tcW w:w="1440" w:type="dxa"/>
            <w:vAlign w:val="center"/>
          </w:tcPr>
          <w:p w14:paraId="06E1EC7A" w14:textId="77777777" w:rsidR="00682E75" w:rsidRPr="00761EB9" w:rsidRDefault="00953B3B" w:rsidP="00546B85">
            <w:pPr>
              <w:jc w:val="center"/>
              <w:rPr>
                <w:b/>
              </w:rPr>
            </w:pPr>
            <w:r>
              <w:rPr>
                <w:b/>
              </w:rPr>
              <w:t>.2977</w:t>
            </w:r>
          </w:p>
        </w:tc>
        <w:tc>
          <w:tcPr>
            <w:tcW w:w="1440" w:type="dxa"/>
            <w:vAlign w:val="center"/>
          </w:tcPr>
          <w:p w14:paraId="2439BF4A" w14:textId="77777777" w:rsidR="00682E75" w:rsidRPr="00761EB9" w:rsidRDefault="00953B3B" w:rsidP="00546B85">
            <w:pPr>
              <w:jc w:val="center"/>
              <w:rPr>
                <w:b/>
              </w:rPr>
            </w:pPr>
            <w:r>
              <w:rPr>
                <w:b/>
              </w:rPr>
              <w:t>.0345</w:t>
            </w:r>
          </w:p>
        </w:tc>
        <w:tc>
          <w:tcPr>
            <w:tcW w:w="1350" w:type="dxa"/>
            <w:vAlign w:val="center"/>
          </w:tcPr>
          <w:p w14:paraId="566C51D9" w14:textId="77777777" w:rsidR="00682E75" w:rsidRPr="00761EB9" w:rsidRDefault="00953B3B" w:rsidP="00546B85">
            <w:pPr>
              <w:jc w:val="center"/>
              <w:rPr>
                <w:b/>
              </w:rPr>
            </w:pPr>
            <w:r>
              <w:rPr>
                <w:b/>
              </w:rPr>
              <w:t xml:space="preserve"> &gt;001</w:t>
            </w:r>
          </w:p>
        </w:tc>
        <w:tc>
          <w:tcPr>
            <w:tcW w:w="1620" w:type="dxa"/>
            <w:vAlign w:val="center"/>
          </w:tcPr>
          <w:p w14:paraId="148CD51D" w14:textId="77777777" w:rsidR="00682E75" w:rsidRPr="00761EB9" w:rsidRDefault="00953B3B" w:rsidP="00546B85">
            <w:pPr>
              <w:jc w:val="center"/>
              <w:rPr>
                <w:b/>
              </w:rPr>
            </w:pPr>
            <w:r>
              <w:rPr>
                <w:b/>
              </w:rPr>
              <w:t>.2843</w:t>
            </w:r>
          </w:p>
        </w:tc>
        <w:tc>
          <w:tcPr>
            <w:tcW w:w="1530" w:type="dxa"/>
            <w:vAlign w:val="center"/>
          </w:tcPr>
          <w:p w14:paraId="79D886DC" w14:textId="77777777" w:rsidR="00682E75" w:rsidRPr="00761EB9" w:rsidRDefault="00953B3B" w:rsidP="00546B85">
            <w:pPr>
              <w:jc w:val="center"/>
              <w:rPr>
                <w:b/>
              </w:rPr>
            </w:pPr>
            <w:r>
              <w:rPr>
                <w:b/>
              </w:rPr>
              <w:t>.0381</w:t>
            </w:r>
          </w:p>
        </w:tc>
        <w:tc>
          <w:tcPr>
            <w:tcW w:w="1466" w:type="dxa"/>
            <w:vAlign w:val="center"/>
          </w:tcPr>
          <w:p w14:paraId="02BA9126" w14:textId="77777777" w:rsidR="00682E75" w:rsidRPr="00761EB9" w:rsidRDefault="00953B3B" w:rsidP="00546B85">
            <w:pPr>
              <w:jc w:val="center"/>
              <w:rPr>
                <w:b/>
              </w:rPr>
            </w:pPr>
            <w:r>
              <w:rPr>
                <w:b/>
              </w:rPr>
              <w:t>&lt; .001</w:t>
            </w:r>
          </w:p>
        </w:tc>
      </w:tr>
    </w:tbl>
    <w:p w14:paraId="3BE5AA7D" w14:textId="77777777" w:rsidR="00820D97" w:rsidRDefault="00820D97" w:rsidP="00EE27A1">
      <w:pPr>
        <w:spacing w:after="0"/>
        <w:rPr>
          <w:b/>
        </w:rPr>
      </w:pPr>
    </w:p>
    <w:p w14:paraId="74CA4257" w14:textId="77777777" w:rsidR="00EE27A1" w:rsidRDefault="007F59BF" w:rsidP="00EE27A1">
      <w:pPr>
        <w:spacing w:after="0"/>
      </w:pPr>
      <w:r>
        <w:rPr>
          <w:b/>
        </w:rPr>
        <w:t>II.</w:t>
      </w:r>
      <w:r w:rsidR="00820D97">
        <w:rPr>
          <w:b/>
        </w:rPr>
        <w:t xml:space="preserve">1b. </w:t>
      </w:r>
      <w:r w:rsidR="00EE27A1" w:rsidRPr="00E52C9F">
        <w:rPr>
          <w:b/>
        </w:rPr>
        <w:t xml:space="preserve">Dependent variable: </w:t>
      </w:r>
      <w:r w:rsidR="00EE27A1">
        <w:rPr>
          <w:b/>
        </w:rPr>
        <w:t>Access to Treatment</w:t>
      </w:r>
    </w:p>
    <w:tbl>
      <w:tblPr>
        <w:tblStyle w:val="TableGrid"/>
        <w:tblW w:w="13428" w:type="dxa"/>
        <w:tblLook w:val="04A0" w:firstRow="1" w:lastRow="0" w:firstColumn="1" w:lastColumn="0" w:noHBand="0" w:noVBand="1"/>
      </w:tblPr>
      <w:tblGrid>
        <w:gridCol w:w="4608"/>
        <w:gridCol w:w="1440"/>
        <w:gridCol w:w="1440"/>
        <w:gridCol w:w="1350"/>
        <w:gridCol w:w="1620"/>
        <w:gridCol w:w="1530"/>
        <w:gridCol w:w="1440"/>
      </w:tblGrid>
      <w:tr w:rsidR="00EE27A1" w14:paraId="1DFFF23D" w14:textId="77777777" w:rsidTr="00173FC4">
        <w:tc>
          <w:tcPr>
            <w:tcW w:w="4608" w:type="dxa"/>
            <w:vAlign w:val="center"/>
          </w:tcPr>
          <w:p w14:paraId="0E600802" w14:textId="77777777" w:rsidR="00EE27A1" w:rsidRPr="00E52C9F" w:rsidRDefault="00EE27A1" w:rsidP="00820D97">
            <w:pPr>
              <w:jc w:val="center"/>
              <w:rPr>
                <w:b/>
              </w:rPr>
            </w:pPr>
            <w:r w:rsidRPr="00E52C9F">
              <w:rPr>
                <w:b/>
              </w:rPr>
              <w:t>Ind. variables</w:t>
            </w:r>
          </w:p>
        </w:tc>
        <w:tc>
          <w:tcPr>
            <w:tcW w:w="1440" w:type="dxa"/>
            <w:vAlign w:val="center"/>
          </w:tcPr>
          <w:p w14:paraId="151FE6B5" w14:textId="77777777" w:rsidR="00EE27A1" w:rsidRPr="00E52C9F" w:rsidRDefault="00EE27A1" w:rsidP="00820D97">
            <w:pPr>
              <w:jc w:val="center"/>
              <w:rPr>
                <w:b/>
              </w:rPr>
            </w:pPr>
            <w:r w:rsidRPr="00E52C9F">
              <w:rPr>
                <w:b/>
              </w:rPr>
              <w:t>Coefficient</w:t>
            </w:r>
          </w:p>
        </w:tc>
        <w:tc>
          <w:tcPr>
            <w:tcW w:w="1440" w:type="dxa"/>
            <w:vAlign w:val="center"/>
          </w:tcPr>
          <w:p w14:paraId="03E26727" w14:textId="77777777" w:rsidR="00EE27A1" w:rsidRPr="00E52C9F" w:rsidRDefault="00EE27A1" w:rsidP="00820D97">
            <w:pPr>
              <w:jc w:val="center"/>
              <w:rPr>
                <w:b/>
              </w:rPr>
            </w:pPr>
            <w:r>
              <w:rPr>
                <w:b/>
              </w:rPr>
              <w:t>Std. error</w:t>
            </w:r>
          </w:p>
        </w:tc>
        <w:tc>
          <w:tcPr>
            <w:tcW w:w="1350" w:type="dxa"/>
            <w:vAlign w:val="center"/>
          </w:tcPr>
          <w:p w14:paraId="1F9BFBE4" w14:textId="77777777" w:rsidR="00EE27A1" w:rsidRPr="00E52C9F" w:rsidRDefault="00EE27A1" w:rsidP="00820D97">
            <w:pPr>
              <w:jc w:val="center"/>
              <w:rPr>
                <w:b/>
              </w:rPr>
            </w:pPr>
            <w:r>
              <w:rPr>
                <w:b/>
              </w:rPr>
              <w:t>P-value</w:t>
            </w:r>
          </w:p>
        </w:tc>
        <w:tc>
          <w:tcPr>
            <w:tcW w:w="1620" w:type="dxa"/>
            <w:vAlign w:val="center"/>
          </w:tcPr>
          <w:p w14:paraId="3E1B2090" w14:textId="77777777" w:rsidR="00EE27A1" w:rsidRPr="00E52C9F" w:rsidRDefault="00EE27A1" w:rsidP="00820D97">
            <w:pPr>
              <w:jc w:val="center"/>
              <w:rPr>
                <w:b/>
              </w:rPr>
            </w:pPr>
            <w:r w:rsidRPr="00E52C9F">
              <w:rPr>
                <w:b/>
              </w:rPr>
              <w:t>Coefficient</w:t>
            </w:r>
          </w:p>
        </w:tc>
        <w:tc>
          <w:tcPr>
            <w:tcW w:w="1530" w:type="dxa"/>
            <w:vAlign w:val="center"/>
          </w:tcPr>
          <w:p w14:paraId="31BCF9C6" w14:textId="77777777" w:rsidR="00EE27A1" w:rsidRPr="00E52C9F" w:rsidRDefault="00EE27A1" w:rsidP="00820D97">
            <w:pPr>
              <w:jc w:val="center"/>
              <w:rPr>
                <w:b/>
              </w:rPr>
            </w:pPr>
            <w:r>
              <w:rPr>
                <w:b/>
              </w:rPr>
              <w:t>Std. error</w:t>
            </w:r>
          </w:p>
        </w:tc>
        <w:tc>
          <w:tcPr>
            <w:tcW w:w="1440" w:type="dxa"/>
            <w:vAlign w:val="center"/>
          </w:tcPr>
          <w:p w14:paraId="39C6E304" w14:textId="77777777" w:rsidR="00EE27A1" w:rsidRPr="00E52C9F" w:rsidRDefault="00EE27A1" w:rsidP="00820D97">
            <w:pPr>
              <w:jc w:val="center"/>
              <w:rPr>
                <w:b/>
              </w:rPr>
            </w:pPr>
            <w:r>
              <w:rPr>
                <w:b/>
              </w:rPr>
              <w:t>P-value</w:t>
            </w:r>
          </w:p>
        </w:tc>
      </w:tr>
      <w:tr w:rsidR="00EE27A1" w14:paraId="219CCF25" w14:textId="77777777" w:rsidTr="00173FC4">
        <w:tc>
          <w:tcPr>
            <w:tcW w:w="4608" w:type="dxa"/>
            <w:vAlign w:val="center"/>
          </w:tcPr>
          <w:p w14:paraId="7EFCC335" w14:textId="77777777" w:rsidR="00EE27A1" w:rsidRDefault="00EE27A1" w:rsidP="00953B3B">
            <w:r>
              <w:t xml:space="preserve">Number of </w:t>
            </w:r>
            <w:r w:rsidR="00953B3B">
              <w:t xml:space="preserve">waivered </w:t>
            </w:r>
            <w:r>
              <w:t>prescribers</w:t>
            </w:r>
            <w:r w:rsidR="00173FC4">
              <w:t xml:space="preserve"> per 10,000 population</w:t>
            </w:r>
          </w:p>
        </w:tc>
        <w:tc>
          <w:tcPr>
            <w:tcW w:w="1440" w:type="dxa"/>
            <w:vAlign w:val="center"/>
          </w:tcPr>
          <w:p w14:paraId="41D9B92C" w14:textId="77777777" w:rsidR="00EE27A1" w:rsidRPr="00953B3B" w:rsidRDefault="00953B3B" w:rsidP="00820D97">
            <w:pPr>
              <w:jc w:val="center"/>
              <w:rPr>
                <w:b/>
              </w:rPr>
            </w:pPr>
            <w:r w:rsidRPr="00953B3B">
              <w:rPr>
                <w:b/>
              </w:rPr>
              <w:t>-.0178</w:t>
            </w:r>
          </w:p>
        </w:tc>
        <w:tc>
          <w:tcPr>
            <w:tcW w:w="1440" w:type="dxa"/>
            <w:vAlign w:val="center"/>
          </w:tcPr>
          <w:p w14:paraId="58A19CA2" w14:textId="77777777" w:rsidR="00EE27A1" w:rsidRPr="00953B3B" w:rsidRDefault="00953B3B" w:rsidP="00820D97">
            <w:pPr>
              <w:jc w:val="center"/>
              <w:rPr>
                <w:b/>
              </w:rPr>
            </w:pPr>
            <w:r w:rsidRPr="00953B3B">
              <w:rPr>
                <w:b/>
              </w:rPr>
              <w:t>.0048</w:t>
            </w:r>
          </w:p>
        </w:tc>
        <w:tc>
          <w:tcPr>
            <w:tcW w:w="1350" w:type="dxa"/>
            <w:vAlign w:val="center"/>
          </w:tcPr>
          <w:p w14:paraId="4B02CFEA" w14:textId="77777777" w:rsidR="00EE27A1" w:rsidRPr="00953B3B" w:rsidRDefault="00953B3B" w:rsidP="00820D97">
            <w:pPr>
              <w:jc w:val="center"/>
              <w:rPr>
                <w:b/>
              </w:rPr>
            </w:pPr>
            <w:r w:rsidRPr="00953B3B">
              <w:rPr>
                <w:b/>
              </w:rPr>
              <w:t>&lt; .001</w:t>
            </w:r>
          </w:p>
        </w:tc>
        <w:tc>
          <w:tcPr>
            <w:tcW w:w="1620" w:type="dxa"/>
            <w:vAlign w:val="center"/>
          </w:tcPr>
          <w:p w14:paraId="45EF0E69" w14:textId="77777777" w:rsidR="00EE27A1" w:rsidRPr="00953B3B" w:rsidRDefault="00953B3B" w:rsidP="00820D97">
            <w:pPr>
              <w:jc w:val="center"/>
            </w:pPr>
            <w:r w:rsidRPr="00953B3B">
              <w:t>-.0074</w:t>
            </w:r>
          </w:p>
        </w:tc>
        <w:tc>
          <w:tcPr>
            <w:tcW w:w="1530" w:type="dxa"/>
            <w:vAlign w:val="center"/>
          </w:tcPr>
          <w:p w14:paraId="7F08BA24" w14:textId="77777777" w:rsidR="00EE27A1" w:rsidRPr="00953B3B" w:rsidRDefault="00953B3B" w:rsidP="00820D97">
            <w:pPr>
              <w:jc w:val="center"/>
            </w:pPr>
            <w:r w:rsidRPr="00953B3B">
              <w:t>.0063</w:t>
            </w:r>
          </w:p>
        </w:tc>
        <w:tc>
          <w:tcPr>
            <w:tcW w:w="1440" w:type="dxa"/>
            <w:vAlign w:val="center"/>
          </w:tcPr>
          <w:p w14:paraId="0CD9FBC8" w14:textId="77777777" w:rsidR="00EE27A1" w:rsidRPr="00953B3B" w:rsidRDefault="00953B3B" w:rsidP="00820D97">
            <w:pPr>
              <w:jc w:val="center"/>
            </w:pPr>
            <w:r w:rsidRPr="00953B3B">
              <w:t>.239</w:t>
            </w:r>
          </w:p>
        </w:tc>
      </w:tr>
      <w:tr w:rsidR="00EE27A1" w14:paraId="7D5A8506" w14:textId="77777777" w:rsidTr="00173FC4">
        <w:tc>
          <w:tcPr>
            <w:tcW w:w="4608" w:type="dxa"/>
            <w:vAlign w:val="center"/>
          </w:tcPr>
          <w:p w14:paraId="17C38DB8" w14:textId="77777777" w:rsidR="00EE27A1" w:rsidRDefault="00EE27A1" w:rsidP="00820D97">
            <w:r>
              <w:t>OD death rate, lagged 1 year</w:t>
            </w:r>
          </w:p>
        </w:tc>
        <w:tc>
          <w:tcPr>
            <w:tcW w:w="1440" w:type="dxa"/>
            <w:vAlign w:val="center"/>
          </w:tcPr>
          <w:p w14:paraId="44208610" w14:textId="77777777" w:rsidR="00EE27A1" w:rsidRPr="00761EB9" w:rsidRDefault="00953B3B" w:rsidP="00820D97">
            <w:pPr>
              <w:jc w:val="center"/>
              <w:rPr>
                <w:b/>
              </w:rPr>
            </w:pPr>
            <w:r>
              <w:rPr>
                <w:b/>
              </w:rPr>
              <w:t>-.0028</w:t>
            </w:r>
          </w:p>
        </w:tc>
        <w:tc>
          <w:tcPr>
            <w:tcW w:w="1440" w:type="dxa"/>
            <w:vAlign w:val="center"/>
          </w:tcPr>
          <w:p w14:paraId="2EC3F2D3" w14:textId="77777777" w:rsidR="00EE27A1" w:rsidRPr="00761EB9" w:rsidRDefault="00953B3B" w:rsidP="00820D97">
            <w:pPr>
              <w:jc w:val="center"/>
              <w:rPr>
                <w:b/>
              </w:rPr>
            </w:pPr>
            <w:r>
              <w:rPr>
                <w:b/>
              </w:rPr>
              <w:t>.0010</w:t>
            </w:r>
          </w:p>
        </w:tc>
        <w:tc>
          <w:tcPr>
            <w:tcW w:w="1350" w:type="dxa"/>
            <w:vAlign w:val="center"/>
          </w:tcPr>
          <w:p w14:paraId="2E47486B" w14:textId="77777777" w:rsidR="00EE27A1" w:rsidRPr="00761EB9" w:rsidRDefault="00953B3B" w:rsidP="00820D97">
            <w:pPr>
              <w:jc w:val="center"/>
              <w:rPr>
                <w:b/>
              </w:rPr>
            </w:pPr>
            <w:r>
              <w:rPr>
                <w:b/>
              </w:rPr>
              <w:t>.004</w:t>
            </w:r>
          </w:p>
        </w:tc>
        <w:tc>
          <w:tcPr>
            <w:tcW w:w="1620" w:type="dxa"/>
            <w:vAlign w:val="center"/>
          </w:tcPr>
          <w:p w14:paraId="7FB1FA72" w14:textId="77777777" w:rsidR="00EE27A1" w:rsidRPr="00761EB9" w:rsidRDefault="00953B3B" w:rsidP="00820D97">
            <w:pPr>
              <w:jc w:val="center"/>
              <w:rPr>
                <w:b/>
              </w:rPr>
            </w:pPr>
            <w:r>
              <w:rPr>
                <w:b/>
              </w:rPr>
              <w:t>-.0039</w:t>
            </w:r>
          </w:p>
        </w:tc>
        <w:tc>
          <w:tcPr>
            <w:tcW w:w="1530" w:type="dxa"/>
            <w:vAlign w:val="center"/>
          </w:tcPr>
          <w:p w14:paraId="69E1F5DA" w14:textId="77777777" w:rsidR="00EE27A1" w:rsidRPr="00761EB9" w:rsidRDefault="00953B3B" w:rsidP="00820D97">
            <w:pPr>
              <w:jc w:val="center"/>
              <w:rPr>
                <w:b/>
              </w:rPr>
            </w:pPr>
            <w:r>
              <w:rPr>
                <w:b/>
              </w:rPr>
              <w:t>.0010</w:t>
            </w:r>
          </w:p>
        </w:tc>
        <w:tc>
          <w:tcPr>
            <w:tcW w:w="1440" w:type="dxa"/>
            <w:vAlign w:val="center"/>
          </w:tcPr>
          <w:p w14:paraId="1CA19193" w14:textId="77777777" w:rsidR="00EE27A1" w:rsidRPr="00761EB9" w:rsidRDefault="00953B3B" w:rsidP="00820D97">
            <w:pPr>
              <w:jc w:val="center"/>
              <w:rPr>
                <w:b/>
              </w:rPr>
            </w:pPr>
            <w:r>
              <w:rPr>
                <w:b/>
              </w:rPr>
              <w:t>&lt; .001</w:t>
            </w:r>
          </w:p>
        </w:tc>
      </w:tr>
      <w:tr w:rsidR="00EE27A1" w14:paraId="75448F2C" w14:textId="77777777" w:rsidTr="00173FC4">
        <w:tc>
          <w:tcPr>
            <w:tcW w:w="4608" w:type="dxa"/>
            <w:vAlign w:val="center"/>
          </w:tcPr>
          <w:p w14:paraId="14AE221B" w14:textId="77777777" w:rsidR="00EE27A1" w:rsidRDefault="00EE27A1" w:rsidP="00820D97">
            <w:r>
              <w:t>Methadone clinics per 100,000 pop.</w:t>
            </w:r>
          </w:p>
        </w:tc>
        <w:tc>
          <w:tcPr>
            <w:tcW w:w="1440" w:type="dxa"/>
            <w:vAlign w:val="center"/>
          </w:tcPr>
          <w:p w14:paraId="775F2113" w14:textId="77777777" w:rsidR="00EE27A1" w:rsidRDefault="00953B3B" w:rsidP="00820D97">
            <w:pPr>
              <w:jc w:val="center"/>
            </w:pPr>
            <w:r>
              <w:t>-.0050</w:t>
            </w:r>
          </w:p>
        </w:tc>
        <w:tc>
          <w:tcPr>
            <w:tcW w:w="1440" w:type="dxa"/>
            <w:vAlign w:val="center"/>
          </w:tcPr>
          <w:p w14:paraId="1784C9BF" w14:textId="77777777" w:rsidR="00EE27A1" w:rsidRDefault="00953B3B" w:rsidP="00820D97">
            <w:pPr>
              <w:jc w:val="center"/>
            </w:pPr>
            <w:r>
              <w:t>.0271</w:t>
            </w:r>
          </w:p>
        </w:tc>
        <w:tc>
          <w:tcPr>
            <w:tcW w:w="1350" w:type="dxa"/>
            <w:vAlign w:val="center"/>
          </w:tcPr>
          <w:p w14:paraId="5C3C50F8" w14:textId="77777777" w:rsidR="00EE27A1" w:rsidRDefault="00953B3B" w:rsidP="00820D97">
            <w:pPr>
              <w:jc w:val="center"/>
            </w:pPr>
            <w:r>
              <w:t>.853</w:t>
            </w:r>
          </w:p>
        </w:tc>
        <w:tc>
          <w:tcPr>
            <w:tcW w:w="1620" w:type="dxa"/>
            <w:vAlign w:val="center"/>
          </w:tcPr>
          <w:p w14:paraId="10FB16DC" w14:textId="77777777" w:rsidR="00EE27A1" w:rsidRDefault="00953B3B" w:rsidP="00820D97">
            <w:pPr>
              <w:jc w:val="center"/>
            </w:pPr>
            <w:r>
              <w:t>-.0090</w:t>
            </w:r>
          </w:p>
        </w:tc>
        <w:tc>
          <w:tcPr>
            <w:tcW w:w="1530" w:type="dxa"/>
            <w:vAlign w:val="center"/>
          </w:tcPr>
          <w:p w14:paraId="0BA8A475" w14:textId="77777777" w:rsidR="00EE27A1" w:rsidRPr="00EE27A1" w:rsidRDefault="00953B3B" w:rsidP="00820D97">
            <w:pPr>
              <w:jc w:val="center"/>
            </w:pPr>
            <w:r>
              <w:t>.0281</w:t>
            </w:r>
          </w:p>
        </w:tc>
        <w:tc>
          <w:tcPr>
            <w:tcW w:w="1440" w:type="dxa"/>
            <w:vAlign w:val="center"/>
          </w:tcPr>
          <w:p w14:paraId="5FB9C843" w14:textId="77777777" w:rsidR="00EE27A1" w:rsidRPr="00EE27A1" w:rsidRDefault="00953B3B" w:rsidP="00820D97">
            <w:pPr>
              <w:jc w:val="center"/>
            </w:pPr>
            <w:r>
              <w:t>.749</w:t>
            </w:r>
          </w:p>
        </w:tc>
      </w:tr>
      <w:tr w:rsidR="00EE27A1" w14:paraId="17192594" w14:textId="77777777" w:rsidTr="00173FC4">
        <w:tc>
          <w:tcPr>
            <w:tcW w:w="4608" w:type="dxa"/>
            <w:vAlign w:val="center"/>
          </w:tcPr>
          <w:p w14:paraId="62358D35" w14:textId="77777777" w:rsidR="00EE27A1" w:rsidRDefault="00EE27A1" w:rsidP="00820D97">
            <w:r>
              <w:t>Median household income</w:t>
            </w:r>
          </w:p>
        </w:tc>
        <w:tc>
          <w:tcPr>
            <w:tcW w:w="1440" w:type="dxa"/>
            <w:vAlign w:val="center"/>
          </w:tcPr>
          <w:p w14:paraId="3B771EC5" w14:textId="77777777" w:rsidR="00EE27A1" w:rsidRPr="00761EB9" w:rsidRDefault="00953B3B" w:rsidP="00820D97">
            <w:pPr>
              <w:jc w:val="center"/>
              <w:rPr>
                <w:b/>
              </w:rPr>
            </w:pPr>
            <w:r>
              <w:rPr>
                <w:b/>
              </w:rPr>
              <w:t>-2.58e-06</w:t>
            </w:r>
          </w:p>
        </w:tc>
        <w:tc>
          <w:tcPr>
            <w:tcW w:w="1440" w:type="dxa"/>
            <w:vAlign w:val="center"/>
          </w:tcPr>
          <w:p w14:paraId="63E43059" w14:textId="77777777" w:rsidR="00EE27A1" w:rsidRPr="00761EB9" w:rsidRDefault="00953B3B" w:rsidP="00820D97">
            <w:pPr>
              <w:jc w:val="center"/>
              <w:rPr>
                <w:b/>
              </w:rPr>
            </w:pPr>
            <w:r>
              <w:rPr>
                <w:b/>
              </w:rPr>
              <w:t>6.67e-07</w:t>
            </w:r>
          </w:p>
        </w:tc>
        <w:tc>
          <w:tcPr>
            <w:tcW w:w="1350" w:type="dxa"/>
            <w:vAlign w:val="center"/>
          </w:tcPr>
          <w:p w14:paraId="441FBCCB" w14:textId="77777777" w:rsidR="00EE27A1" w:rsidRPr="00761EB9" w:rsidRDefault="00953B3B" w:rsidP="00820D97">
            <w:pPr>
              <w:jc w:val="center"/>
              <w:rPr>
                <w:b/>
              </w:rPr>
            </w:pPr>
            <w:r>
              <w:rPr>
                <w:b/>
              </w:rPr>
              <w:t>&lt; .001</w:t>
            </w:r>
          </w:p>
        </w:tc>
        <w:tc>
          <w:tcPr>
            <w:tcW w:w="1620" w:type="dxa"/>
            <w:vAlign w:val="center"/>
          </w:tcPr>
          <w:p w14:paraId="109A9842" w14:textId="77777777" w:rsidR="00EE27A1" w:rsidRPr="00761EB9" w:rsidRDefault="00953B3B" w:rsidP="00820D97">
            <w:pPr>
              <w:jc w:val="center"/>
              <w:rPr>
                <w:b/>
              </w:rPr>
            </w:pPr>
            <w:r>
              <w:rPr>
                <w:b/>
              </w:rPr>
              <w:t>-3.27e-06</w:t>
            </w:r>
          </w:p>
        </w:tc>
        <w:tc>
          <w:tcPr>
            <w:tcW w:w="1530" w:type="dxa"/>
            <w:vAlign w:val="center"/>
          </w:tcPr>
          <w:p w14:paraId="15CFCDA8" w14:textId="77777777" w:rsidR="00EE27A1" w:rsidRPr="00761EB9" w:rsidRDefault="00953B3B" w:rsidP="00820D97">
            <w:pPr>
              <w:jc w:val="center"/>
              <w:rPr>
                <w:b/>
              </w:rPr>
            </w:pPr>
            <w:r>
              <w:rPr>
                <w:b/>
              </w:rPr>
              <w:t>1.13e-06</w:t>
            </w:r>
          </w:p>
        </w:tc>
        <w:tc>
          <w:tcPr>
            <w:tcW w:w="1440" w:type="dxa"/>
            <w:vAlign w:val="center"/>
          </w:tcPr>
          <w:p w14:paraId="601169EA" w14:textId="77777777" w:rsidR="00EE27A1" w:rsidRPr="00761EB9" w:rsidRDefault="00953B3B" w:rsidP="00820D97">
            <w:pPr>
              <w:jc w:val="center"/>
              <w:rPr>
                <w:b/>
              </w:rPr>
            </w:pPr>
            <w:r>
              <w:rPr>
                <w:b/>
              </w:rPr>
              <w:t>.004</w:t>
            </w:r>
          </w:p>
        </w:tc>
      </w:tr>
      <w:tr w:rsidR="00EE27A1" w14:paraId="0A1BD402" w14:textId="77777777" w:rsidTr="00173FC4">
        <w:tc>
          <w:tcPr>
            <w:tcW w:w="4608" w:type="dxa"/>
            <w:vAlign w:val="center"/>
          </w:tcPr>
          <w:p w14:paraId="3AC36400" w14:textId="77777777" w:rsidR="00EE27A1" w:rsidRDefault="00EE27A1" w:rsidP="00820D97">
            <w:r>
              <w:t>Percent black</w:t>
            </w:r>
          </w:p>
        </w:tc>
        <w:tc>
          <w:tcPr>
            <w:tcW w:w="1440" w:type="dxa"/>
            <w:vAlign w:val="center"/>
          </w:tcPr>
          <w:p w14:paraId="74E0278B" w14:textId="77777777" w:rsidR="00EE27A1" w:rsidRPr="00761EB9" w:rsidRDefault="00953B3B" w:rsidP="00820D97">
            <w:pPr>
              <w:jc w:val="center"/>
              <w:rPr>
                <w:b/>
              </w:rPr>
            </w:pPr>
            <w:r>
              <w:rPr>
                <w:b/>
              </w:rPr>
              <w:t>-.4864</w:t>
            </w:r>
          </w:p>
        </w:tc>
        <w:tc>
          <w:tcPr>
            <w:tcW w:w="1440" w:type="dxa"/>
            <w:vAlign w:val="center"/>
          </w:tcPr>
          <w:p w14:paraId="5659EDA4" w14:textId="77777777" w:rsidR="00EE27A1" w:rsidRPr="00761EB9" w:rsidRDefault="00953B3B" w:rsidP="00820D97">
            <w:pPr>
              <w:jc w:val="center"/>
              <w:rPr>
                <w:b/>
              </w:rPr>
            </w:pPr>
            <w:r>
              <w:rPr>
                <w:b/>
              </w:rPr>
              <w:t>.1557</w:t>
            </w:r>
          </w:p>
        </w:tc>
        <w:tc>
          <w:tcPr>
            <w:tcW w:w="1350" w:type="dxa"/>
            <w:vAlign w:val="center"/>
          </w:tcPr>
          <w:p w14:paraId="52FE8704" w14:textId="77777777" w:rsidR="00EE27A1" w:rsidRPr="00761EB9" w:rsidRDefault="00953B3B" w:rsidP="00820D97">
            <w:pPr>
              <w:jc w:val="center"/>
              <w:rPr>
                <w:b/>
              </w:rPr>
            </w:pPr>
            <w:r>
              <w:rPr>
                <w:b/>
              </w:rPr>
              <w:t>.002</w:t>
            </w:r>
          </w:p>
        </w:tc>
        <w:tc>
          <w:tcPr>
            <w:tcW w:w="1620" w:type="dxa"/>
            <w:vAlign w:val="center"/>
          </w:tcPr>
          <w:p w14:paraId="098E8783" w14:textId="77777777" w:rsidR="00EE27A1" w:rsidRPr="0022567A" w:rsidRDefault="00953B3B" w:rsidP="00820D97">
            <w:pPr>
              <w:jc w:val="center"/>
              <w:rPr>
                <w:b/>
              </w:rPr>
            </w:pPr>
            <w:r>
              <w:rPr>
                <w:b/>
              </w:rPr>
              <w:t>-</w:t>
            </w:r>
          </w:p>
        </w:tc>
        <w:tc>
          <w:tcPr>
            <w:tcW w:w="1530" w:type="dxa"/>
            <w:vAlign w:val="center"/>
          </w:tcPr>
          <w:p w14:paraId="3BF16503" w14:textId="77777777" w:rsidR="00EE27A1" w:rsidRPr="00EE27A1" w:rsidRDefault="00953B3B" w:rsidP="00820D97">
            <w:pPr>
              <w:jc w:val="center"/>
            </w:pPr>
            <w:r>
              <w:t>-</w:t>
            </w:r>
          </w:p>
        </w:tc>
        <w:tc>
          <w:tcPr>
            <w:tcW w:w="1440" w:type="dxa"/>
            <w:vAlign w:val="center"/>
          </w:tcPr>
          <w:p w14:paraId="36BCF550" w14:textId="77777777" w:rsidR="00EE27A1" w:rsidRPr="00EE27A1" w:rsidRDefault="00953B3B" w:rsidP="00820D97">
            <w:pPr>
              <w:jc w:val="center"/>
            </w:pPr>
            <w:r>
              <w:t>-</w:t>
            </w:r>
          </w:p>
        </w:tc>
      </w:tr>
      <w:tr w:rsidR="00EE27A1" w14:paraId="5D28C737" w14:textId="77777777" w:rsidTr="00173FC4">
        <w:tc>
          <w:tcPr>
            <w:tcW w:w="4608" w:type="dxa"/>
            <w:vAlign w:val="center"/>
          </w:tcPr>
          <w:p w14:paraId="68A11150" w14:textId="77777777" w:rsidR="00EE27A1" w:rsidRDefault="00EE27A1" w:rsidP="00820D97">
            <w:r>
              <w:t>Percent Hispanic</w:t>
            </w:r>
          </w:p>
        </w:tc>
        <w:tc>
          <w:tcPr>
            <w:tcW w:w="1440" w:type="dxa"/>
            <w:vAlign w:val="center"/>
          </w:tcPr>
          <w:p w14:paraId="062219EF" w14:textId="77777777" w:rsidR="00EE27A1" w:rsidRPr="00EE27A1" w:rsidRDefault="00953B3B" w:rsidP="00820D97">
            <w:pPr>
              <w:jc w:val="center"/>
            </w:pPr>
            <w:r>
              <w:t>-</w:t>
            </w:r>
          </w:p>
        </w:tc>
        <w:tc>
          <w:tcPr>
            <w:tcW w:w="1440" w:type="dxa"/>
            <w:vAlign w:val="center"/>
          </w:tcPr>
          <w:p w14:paraId="6549A091" w14:textId="77777777" w:rsidR="00EE27A1" w:rsidRPr="00EE27A1" w:rsidRDefault="00953B3B" w:rsidP="00820D97">
            <w:pPr>
              <w:jc w:val="center"/>
            </w:pPr>
            <w:r>
              <w:t>-</w:t>
            </w:r>
          </w:p>
        </w:tc>
        <w:tc>
          <w:tcPr>
            <w:tcW w:w="1350" w:type="dxa"/>
            <w:vAlign w:val="center"/>
          </w:tcPr>
          <w:p w14:paraId="54A1C419" w14:textId="77777777" w:rsidR="00EE27A1" w:rsidRPr="00EE27A1" w:rsidRDefault="00953B3B" w:rsidP="00820D97">
            <w:pPr>
              <w:jc w:val="center"/>
            </w:pPr>
            <w:r>
              <w:t>-</w:t>
            </w:r>
          </w:p>
        </w:tc>
        <w:tc>
          <w:tcPr>
            <w:tcW w:w="1620" w:type="dxa"/>
            <w:vAlign w:val="center"/>
          </w:tcPr>
          <w:p w14:paraId="5CECE2B9" w14:textId="77777777" w:rsidR="00EE27A1" w:rsidRPr="00953B3B" w:rsidRDefault="00953B3B" w:rsidP="00820D97">
            <w:pPr>
              <w:jc w:val="center"/>
            </w:pPr>
            <w:r w:rsidRPr="00953B3B">
              <w:t>-.4138</w:t>
            </w:r>
          </w:p>
        </w:tc>
        <w:tc>
          <w:tcPr>
            <w:tcW w:w="1530" w:type="dxa"/>
            <w:vAlign w:val="center"/>
          </w:tcPr>
          <w:p w14:paraId="06C2C5C7" w14:textId="77777777" w:rsidR="00EE27A1" w:rsidRPr="00953B3B" w:rsidRDefault="00953B3B" w:rsidP="00820D97">
            <w:pPr>
              <w:jc w:val="center"/>
            </w:pPr>
            <w:r w:rsidRPr="00953B3B">
              <w:t>.2282</w:t>
            </w:r>
          </w:p>
        </w:tc>
        <w:tc>
          <w:tcPr>
            <w:tcW w:w="1440" w:type="dxa"/>
            <w:vAlign w:val="center"/>
          </w:tcPr>
          <w:p w14:paraId="792A0C5A" w14:textId="77777777" w:rsidR="00EE27A1" w:rsidRPr="00953B3B" w:rsidRDefault="00953B3B" w:rsidP="00820D97">
            <w:pPr>
              <w:jc w:val="center"/>
            </w:pPr>
            <w:r w:rsidRPr="00953B3B">
              <w:t>.070</w:t>
            </w:r>
          </w:p>
        </w:tc>
      </w:tr>
      <w:tr w:rsidR="00EE27A1" w14:paraId="47B0C599" w14:textId="77777777" w:rsidTr="00173FC4">
        <w:tc>
          <w:tcPr>
            <w:tcW w:w="4608" w:type="dxa"/>
            <w:vAlign w:val="center"/>
          </w:tcPr>
          <w:p w14:paraId="006F5FD4" w14:textId="77777777" w:rsidR="00EE27A1" w:rsidRDefault="00EE27A1" w:rsidP="00820D97">
            <w:r>
              <w:t>Constant</w:t>
            </w:r>
          </w:p>
        </w:tc>
        <w:tc>
          <w:tcPr>
            <w:tcW w:w="1440" w:type="dxa"/>
            <w:vAlign w:val="center"/>
          </w:tcPr>
          <w:p w14:paraId="4BBBE922" w14:textId="77777777" w:rsidR="00EE27A1" w:rsidRPr="00761EB9" w:rsidRDefault="00953B3B" w:rsidP="00820D97">
            <w:pPr>
              <w:jc w:val="center"/>
              <w:rPr>
                <w:b/>
              </w:rPr>
            </w:pPr>
            <w:r>
              <w:rPr>
                <w:b/>
              </w:rPr>
              <w:t>.5220</w:t>
            </w:r>
          </w:p>
        </w:tc>
        <w:tc>
          <w:tcPr>
            <w:tcW w:w="1440" w:type="dxa"/>
            <w:vAlign w:val="center"/>
          </w:tcPr>
          <w:p w14:paraId="02EBA223" w14:textId="77777777" w:rsidR="00EE27A1" w:rsidRPr="00761EB9" w:rsidRDefault="00953B3B" w:rsidP="00820D97">
            <w:pPr>
              <w:jc w:val="center"/>
              <w:rPr>
                <w:b/>
              </w:rPr>
            </w:pPr>
            <w:r>
              <w:rPr>
                <w:b/>
              </w:rPr>
              <w:t>.0473</w:t>
            </w:r>
          </w:p>
        </w:tc>
        <w:tc>
          <w:tcPr>
            <w:tcW w:w="1350" w:type="dxa"/>
            <w:vAlign w:val="center"/>
          </w:tcPr>
          <w:p w14:paraId="24B7BD0F" w14:textId="77777777" w:rsidR="00EE27A1" w:rsidRPr="00761EB9" w:rsidRDefault="00953B3B" w:rsidP="00820D97">
            <w:pPr>
              <w:jc w:val="center"/>
              <w:rPr>
                <w:b/>
              </w:rPr>
            </w:pPr>
            <w:r>
              <w:rPr>
                <w:b/>
              </w:rPr>
              <w:t>&lt; .001</w:t>
            </w:r>
          </w:p>
        </w:tc>
        <w:tc>
          <w:tcPr>
            <w:tcW w:w="1620" w:type="dxa"/>
            <w:vAlign w:val="center"/>
          </w:tcPr>
          <w:p w14:paraId="37DC9F9A" w14:textId="77777777" w:rsidR="00EE27A1" w:rsidRPr="00761EB9" w:rsidRDefault="00953B3B" w:rsidP="00820D97">
            <w:pPr>
              <w:jc w:val="center"/>
              <w:rPr>
                <w:b/>
              </w:rPr>
            </w:pPr>
            <w:r>
              <w:rPr>
                <w:b/>
              </w:rPr>
              <w:t>.5727</w:t>
            </w:r>
          </w:p>
        </w:tc>
        <w:tc>
          <w:tcPr>
            <w:tcW w:w="1530" w:type="dxa"/>
            <w:vAlign w:val="center"/>
          </w:tcPr>
          <w:p w14:paraId="25E39570" w14:textId="77777777" w:rsidR="00EE27A1" w:rsidRPr="00761EB9" w:rsidRDefault="00953B3B" w:rsidP="00820D97">
            <w:pPr>
              <w:jc w:val="center"/>
              <w:rPr>
                <w:b/>
              </w:rPr>
            </w:pPr>
            <w:r>
              <w:rPr>
                <w:b/>
              </w:rPr>
              <w:t>.0762</w:t>
            </w:r>
          </w:p>
        </w:tc>
        <w:tc>
          <w:tcPr>
            <w:tcW w:w="1440" w:type="dxa"/>
            <w:vAlign w:val="center"/>
          </w:tcPr>
          <w:p w14:paraId="26E8AFE6" w14:textId="77777777" w:rsidR="00EE27A1" w:rsidRPr="00761EB9" w:rsidRDefault="00953B3B" w:rsidP="00820D97">
            <w:pPr>
              <w:jc w:val="center"/>
              <w:rPr>
                <w:b/>
              </w:rPr>
            </w:pPr>
            <w:r>
              <w:rPr>
                <w:b/>
              </w:rPr>
              <w:t>&lt; .001</w:t>
            </w:r>
          </w:p>
        </w:tc>
      </w:tr>
    </w:tbl>
    <w:p w14:paraId="63995D84" w14:textId="77777777" w:rsidR="00EE27A1" w:rsidRDefault="00EE27A1" w:rsidP="00EE27A1">
      <w:pPr>
        <w:spacing w:before="200" w:after="0"/>
      </w:pPr>
      <w:r>
        <w:t xml:space="preserve">Note: Tobit regression controlling for clustering of values by county and year. N = 96. </w:t>
      </w:r>
      <w:r w:rsidR="00761EB9">
        <w:t xml:space="preserve">Parameters significant at the .05 level are in </w:t>
      </w:r>
      <w:r w:rsidR="00761EB9" w:rsidRPr="00761EB9">
        <w:rPr>
          <w:b/>
        </w:rPr>
        <w:t>bold</w:t>
      </w:r>
      <w:r w:rsidR="00761EB9">
        <w:t>.</w:t>
      </w:r>
    </w:p>
    <w:p w14:paraId="0DA5701E" w14:textId="77777777" w:rsidR="00461EF0" w:rsidRDefault="00461EF0" w:rsidP="00DB2A29">
      <w:pPr>
        <w:spacing w:after="0"/>
      </w:pPr>
    </w:p>
    <w:p w14:paraId="1ECAD63D" w14:textId="77777777" w:rsidR="00F64A97" w:rsidRDefault="00F64A97">
      <w:r>
        <w:t xml:space="preserve">Two phenomena appear to underlie these observed disparities in access to treatment. First, a higher proportion of prescribers </w:t>
      </w:r>
      <w:r w:rsidR="00E2783C">
        <w:t xml:space="preserve">waivered for 30 patients </w:t>
      </w:r>
      <w:r>
        <w:t xml:space="preserve">are not prescribing buprenorphine at all in counties with a higher proportion of black or Hispanic residents. Figure II.4 below, for example, depicts the correlation in 2018 between the proportion of </w:t>
      </w:r>
      <w:r w:rsidR="00B40285">
        <w:t xml:space="preserve">30-patient </w:t>
      </w:r>
      <w:r>
        <w:t>waivered prescribers with no patients and the percent of black residents.</w:t>
      </w:r>
    </w:p>
    <w:p w14:paraId="6689A37F" w14:textId="77777777" w:rsidR="00F64A97" w:rsidRDefault="00F64A97"/>
    <w:p w14:paraId="495227F6" w14:textId="77777777" w:rsidR="00F64A97" w:rsidRPr="00F64A97" w:rsidRDefault="00F64A97">
      <w:pPr>
        <w:rPr>
          <w:b/>
        </w:rPr>
      </w:pPr>
      <w:r w:rsidRPr="00F64A97">
        <w:rPr>
          <w:b/>
        </w:rPr>
        <w:lastRenderedPageBreak/>
        <w:t xml:space="preserve">Figure II.4: Scatterplot of percent of percent of </w:t>
      </w:r>
      <w:r w:rsidR="00E2783C">
        <w:rPr>
          <w:b/>
        </w:rPr>
        <w:t xml:space="preserve">prescribers </w:t>
      </w:r>
      <w:r w:rsidRPr="00F64A97">
        <w:rPr>
          <w:b/>
        </w:rPr>
        <w:t xml:space="preserve">waivered </w:t>
      </w:r>
      <w:r w:rsidR="00E2783C">
        <w:rPr>
          <w:b/>
        </w:rPr>
        <w:t>for 30 patients</w:t>
      </w:r>
      <w:r w:rsidRPr="00F64A97">
        <w:rPr>
          <w:b/>
        </w:rPr>
        <w:t xml:space="preserve"> in each county with zero MOUD patients in 2018, and percent of county residents who are black</w:t>
      </w:r>
    </w:p>
    <w:p w14:paraId="6FD3E6A0" w14:textId="77777777" w:rsidR="00F64A97" w:rsidRDefault="00F64A97" w:rsidP="00C86581">
      <w:pPr>
        <w:spacing w:after="0"/>
      </w:pPr>
      <w:r>
        <w:rPr>
          <w:noProof/>
        </w:rPr>
        <w:drawing>
          <wp:inline distT="0" distB="0" distL="0" distR="0" wp14:anchorId="6601BD69" wp14:editId="6BCC49D9">
            <wp:extent cx="5943600" cy="3505200"/>
            <wp:effectExtent l="0" t="0" r="0" b="0"/>
            <wp:docPr id="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a:effectLst/>
                  </pic:spPr>
                </pic:pic>
              </a:graphicData>
            </a:graphic>
          </wp:inline>
        </w:drawing>
      </w:r>
    </w:p>
    <w:p w14:paraId="2F43754C" w14:textId="77777777" w:rsidR="00F64A97" w:rsidRPr="00F64A97" w:rsidRDefault="00F64A97" w:rsidP="00F64A97">
      <w:r>
        <w:t>Note: The correlation coefficient, r</w:t>
      </w:r>
      <w:r w:rsidRPr="00F64A97">
        <w:t xml:space="preserve"> = .648 (p = .023). (Without Boston,</w:t>
      </w:r>
      <w:r w:rsidR="00E2783C">
        <w:t xml:space="preserve"> point at the farthest right,</w:t>
      </w:r>
      <w:r w:rsidRPr="00F64A97">
        <w:t xml:space="preserve"> r = .563, p = .071.)</w:t>
      </w:r>
    </w:p>
    <w:p w14:paraId="49F7B11C" w14:textId="77777777" w:rsidR="00F64A97" w:rsidRDefault="00E2783C" w:rsidP="00F64A97">
      <w:r>
        <w:t xml:space="preserve">Second, both the proportion of waivered prescribers who are waivered for 275 patients, and the median number of patients of those 275-patient waivered prescribers, are lower in counties with a higher proportion of black or Hispanic residents. For example, Figure II.5 below shows the association in 2018 between the median number of patients of prescribers waivered for 275 patients and the percent of </w:t>
      </w:r>
      <w:r w:rsidR="00B40285">
        <w:t xml:space="preserve">county </w:t>
      </w:r>
      <w:r>
        <w:t>residents who are black.</w:t>
      </w:r>
    </w:p>
    <w:p w14:paraId="3E526A78" w14:textId="77777777" w:rsidR="00E2783C" w:rsidRDefault="00E2783C" w:rsidP="00F64A97"/>
    <w:p w14:paraId="7ACB5BA0" w14:textId="77777777" w:rsidR="00E2783C" w:rsidRDefault="00E2783C" w:rsidP="00F64A97"/>
    <w:p w14:paraId="668707C0" w14:textId="77777777" w:rsidR="00E2783C" w:rsidRPr="00E2783C" w:rsidRDefault="00E2783C" w:rsidP="00F64A97">
      <w:pPr>
        <w:rPr>
          <w:b/>
        </w:rPr>
      </w:pPr>
      <w:r w:rsidRPr="00E2783C">
        <w:rPr>
          <w:b/>
        </w:rPr>
        <w:lastRenderedPageBreak/>
        <w:t>Figure II.5: Scatterplot of median number of patients in OUD treatment by physicians waivered for 275 patients, averaged over the 12 months of 2018, and percent of county residents who are black</w:t>
      </w:r>
    </w:p>
    <w:p w14:paraId="6541500D" w14:textId="77777777" w:rsidR="00E2783C" w:rsidRDefault="00E2783C" w:rsidP="00E2783C">
      <w:pPr>
        <w:spacing w:after="0"/>
      </w:pPr>
      <w:r>
        <w:rPr>
          <w:noProof/>
        </w:rPr>
        <w:drawing>
          <wp:inline distT="0" distB="0" distL="0" distR="0" wp14:anchorId="1739E878" wp14:editId="239806F5">
            <wp:extent cx="5943600" cy="3508375"/>
            <wp:effectExtent l="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08375"/>
                    </a:xfrm>
                    <a:prstGeom prst="rect">
                      <a:avLst/>
                    </a:prstGeom>
                    <a:noFill/>
                    <a:ln>
                      <a:noFill/>
                    </a:ln>
                    <a:effectLst/>
                  </pic:spPr>
                </pic:pic>
              </a:graphicData>
            </a:graphic>
          </wp:inline>
        </w:drawing>
      </w:r>
    </w:p>
    <w:p w14:paraId="15A8F3DE" w14:textId="77777777" w:rsidR="00E2783C" w:rsidRPr="00E2783C" w:rsidRDefault="00E2783C" w:rsidP="00767042">
      <w:r>
        <w:t>Note: The correlation coefficient, r</w:t>
      </w:r>
      <w:r w:rsidRPr="00E2783C">
        <w:t xml:space="preserve"> = -.723 (p = .008). Note, excluding Boston (</w:t>
      </w:r>
      <w:r>
        <w:t>point</w:t>
      </w:r>
      <w:r w:rsidRPr="00E2783C">
        <w:t xml:space="preserve"> at far right), r = -.680 (p = .021).</w:t>
      </w:r>
    </w:p>
    <w:p w14:paraId="0DA049C4" w14:textId="77777777" w:rsidR="00E2783C" w:rsidRDefault="00767042" w:rsidP="00767042">
      <w:r>
        <w:t xml:space="preserve">An alternative way to assess both disparities in access to treatment and the role of prescribers waivered for 275 patients in maintaining those disparities is to examine the county-wide averages of the median number of patients for </w:t>
      </w:r>
      <w:r w:rsidR="005E0A52">
        <w:t xml:space="preserve">prescribers in </w:t>
      </w:r>
      <w:r>
        <w:t>each waiver patient limit. In Table II.2 below are displayed the correlations, for each year 2011 – 2018, between the county-wide average of the median number of patients for prescribers waivered for (</w:t>
      </w:r>
      <w:proofErr w:type="spellStart"/>
      <w:r>
        <w:t>i</w:t>
      </w:r>
      <w:proofErr w:type="spellEnd"/>
      <w:r>
        <w:t>) 100 patients, and (ii) 275 patients (the latter starting in 2016), and the percent of black or Hispanic residents in the county.</w:t>
      </w:r>
    </w:p>
    <w:p w14:paraId="593AADEE" w14:textId="77777777" w:rsidR="00767042" w:rsidRDefault="00767042" w:rsidP="00E2783C">
      <w:pPr>
        <w:spacing w:after="0"/>
        <w:rPr>
          <w:b/>
        </w:rPr>
      </w:pPr>
    </w:p>
    <w:p w14:paraId="3B2F7979" w14:textId="77777777" w:rsidR="00767042" w:rsidRDefault="00767042" w:rsidP="00E2783C">
      <w:pPr>
        <w:spacing w:after="0"/>
        <w:rPr>
          <w:b/>
        </w:rPr>
      </w:pPr>
    </w:p>
    <w:p w14:paraId="2753F405" w14:textId="77777777" w:rsidR="00767042" w:rsidRPr="00767042" w:rsidRDefault="00767042" w:rsidP="0050402A">
      <w:pPr>
        <w:spacing w:after="120"/>
        <w:rPr>
          <w:b/>
        </w:rPr>
      </w:pPr>
      <w:r w:rsidRPr="00767042">
        <w:rPr>
          <w:b/>
        </w:rPr>
        <w:lastRenderedPageBreak/>
        <w:t>Table II.2: Correlations between numbers of patients for 100-patient and 275-patient waivered prescribers, and percent black or percent Hispanic, by Massachusetts counties, 2011 - 2018</w:t>
      </w:r>
    </w:p>
    <w:tbl>
      <w:tblPr>
        <w:tblStyle w:val="TableGrid"/>
        <w:tblW w:w="0" w:type="auto"/>
        <w:tblLook w:val="04A0" w:firstRow="1" w:lastRow="0" w:firstColumn="1" w:lastColumn="0" w:noHBand="0" w:noVBand="1"/>
      </w:tblPr>
      <w:tblGrid>
        <w:gridCol w:w="3708"/>
        <w:gridCol w:w="1440"/>
        <w:gridCol w:w="1260"/>
        <w:gridCol w:w="1170"/>
        <w:gridCol w:w="1170"/>
        <w:gridCol w:w="1170"/>
        <w:gridCol w:w="1080"/>
        <w:gridCol w:w="1080"/>
        <w:gridCol w:w="1098"/>
      </w:tblGrid>
      <w:tr w:rsidR="00767042" w14:paraId="0E62A5DA" w14:textId="77777777" w:rsidTr="0050402A">
        <w:tc>
          <w:tcPr>
            <w:tcW w:w="3708" w:type="dxa"/>
            <w:vAlign w:val="center"/>
          </w:tcPr>
          <w:p w14:paraId="5AC52E38" w14:textId="77777777" w:rsidR="00767042" w:rsidRDefault="00767042" w:rsidP="00767042">
            <w:r>
              <w:t>Correlations between:</w:t>
            </w:r>
          </w:p>
        </w:tc>
        <w:tc>
          <w:tcPr>
            <w:tcW w:w="1440" w:type="dxa"/>
            <w:vAlign w:val="center"/>
          </w:tcPr>
          <w:p w14:paraId="598B0258" w14:textId="77777777" w:rsidR="00767042" w:rsidRDefault="00767042" w:rsidP="00767042">
            <w:pPr>
              <w:jc w:val="center"/>
            </w:pPr>
            <w:r>
              <w:t>2011</w:t>
            </w:r>
          </w:p>
        </w:tc>
        <w:tc>
          <w:tcPr>
            <w:tcW w:w="1260" w:type="dxa"/>
            <w:vAlign w:val="center"/>
          </w:tcPr>
          <w:p w14:paraId="44E5C84E" w14:textId="77777777" w:rsidR="00767042" w:rsidRDefault="00767042" w:rsidP="00767042">
            <w:pPr>
              <w:jc w:val="center"/>
            </w:pPr>
            <w:r>
              <w:t>2012</w:t>
            </w:r>
          </w:p>
        </w:tc>
        <w:tc>
          <w:tcPr>
            <w:tcW w:w="1170" w:type="dxa"/>
            <w:vAlign w:val="center"/>
          </w:tcPr>
          <w:p w14:paraId="3E42261D" w14:textId="77777777" w:rsidR="00767042" w:rsidRDefault="00767042" w:rsidP="00767042">
            <w:pPr>
              <w:jc w:val="center"/>
            </w:pPr>
            <w:r>
              <w:t>2013</w:t>
            </w:r>
          </w:p>
        </w:tc>
        <w:tc>
          <w:tcPr>
            <w:tcW w:w="1170" w:type="dxa"/>
            <w:vAlign w:val="center"/>
          </w:tcPr>
          <w:p w14:paraId="0ABCEED8" w14:textId="77777777" w:rsidR="00767042" w:rsidRDefault="00767042" w:rsidP="00767042">
            <w:pPr>
              <w:jc w:val="center"/>
            </w:pPr>
            <w:r>
              <w:t>2014</w:t>
            </w:r>
          </w:p>
        </w:tc>
        <w:tc>
          <w:tcPr>
            <w:tcW w:w="1170" w:type="dxa"/>
            <w:vAlign w:val="center"/>
          </w:tcPr>
          <w:p w14:paraId="0D2392D0" w14:textId="77777777" w:rsidR="00767042" w:rsidRDefault="00767042" w:rsidP="00767042">
            <w:pPr>
              <w:jc w:val="center"/>
            </w:pPr>
            <w:r>
              <w:t>2015</w:t>
            </w:r>
          </w:p>
        </w:tc>
        <w:tc>
          <w:tcPr>
            <w:tcW w:w="1080" w:type="dxa"/>
            <w:vAlign w:val="center"/>
          </w:tcPr>
          <w:p w14:paraId="28C3EDD6" w14:textId="77777777" w:rsidR="00767042" w:rsidRDefault="00767042" w:rsidP="00767042">
            <w:pPr>
              <w:jc w:val="center"/>
            </w:pPr>
            <w:r>
              <w:t>2016</w:t>
            </w:r>
          </w:p>
        </w:tc>
        <w:tc>
          <w:tcPr>
            <w:tcW w:w="1080" w:type="dxa"/>
            <w:vAlign w:val="center"/>
          </w:tcPr>
          <w:p w14:paraId="7F87EE06" w14:textId="77777777" w:rsidR="00767042" w:rsidRDefault="00767042" w:rsidP="00767042">
            <w:pPr>
              <w:jc w:val="center"/>
            </w:pPr>
            <w:r>
              <w:t>2017</w:t>
            </w:r>
          </w:p>
        </w:tc>
        <w:tc>
          <w:tcPr>
            <w:tcW w:w="1098" w:type="dxa"/>
            <w:vAlign w:val="center"/>
          </w:tcPr>
          <w:p w14:paraId="1CC360BB" w14:textId="77777777" w:rsidR="00767042" w:rsidRDefault="00767042" w:rsidP="00767042">
            <w:pPr>
              <w:jc w:val="center"/>
            </w:pPr>
            <w:r>
              <w:t>2018</w:t>
            </w:r>
          </w:p>
        </w:tc>
      </w:tr>
      <w:tr w:rsidR="00767042" w14:paraId="317B0600" w14:textId="77777777" w:rsidTr="0050402A">
        <w:tc>
          <w:tcPr>
            <w:tcW w:w="3708" w:type="dxa"/>
            <w:vAlign w:val="center"/>
          </w:tcPr>
          <w:p w14:paraId="79814D58" w14:textId="77777777" w:rsidR="00767042" w:rsidRDefault="00767042" w:rsidP="00767042">
            <w:r>
              <w:t>100-waiver prescribers number of patients and percent black</w:t>
            </w:r>
          </w:p>
        </w:tc>
        <w:tc>
          <w:tcPr>
            <w:tcW w:w="1440" w:type="dxa"/>
            <w:vAlign w:val="center"/>
          </w:tcPr>
          <w:p w14:paraId="70812F2A" w14:textId="77777777" w:rsidR="00767042" w:rsidRDefault="0050402A" w:rsidP="00767042">
            <w:pPr>
              <w:jc w:val="center"/>
            </w:pPr>
            <w:r>
              <w:t>-.385</w:t>
            </w:r>
          </w:p>
        </w:tc>
        <w:tc>
          <w:tcPr>
            <w:tcW w:w="1260" w:type="dxa"/>
            <w:vAlign w:val="center"/>
          </w:tcPr>
          <w:p w14:paraId="26FB4463" w14:textId="77777777" w:rsidR="00767042" w:rsidRDefault="0050402A" w:rsidP="00767042">
            <w:pPr>
              <w:jc w:val="center"/>
            </w:pPr>
            <w:r>
              <w:t>-.360</w:t>
            </w:r>
          </w:p>
        </w:tc>
        <w:tc>
          <w:tcPr>
            <w:tcW w:w="1170" w:type="dxa"/>
            <w:vAlign w:val="center"/>
          </w:tcPr>
          <w:p w14:paraId="107B539F" w14:textId="77777777" w:rsidR="00767042" w:rsidRPr="0050402A" w:rsidRDefault="0050402A" w:rsidP="00767042">
            <w:pPr>
              <w:jc w:val="center"/>
              <w:rPr>
                <w:b/>
              </w:rPr>
            </w:pPr>
            <w:r w:rsidRPr="0050402A">
              <w:rPr>
                <w:b/>
              </w:rPr>
              <w:t>-.610</w:t>
            </w:r>
          </w:p>
        </w:tc>
        <w:tc>
          <w:tcPr>
            <w:tcW w:w="1170" w:type="dxa"/>
            <w:vAlign w:val="center"/>
          </w:tcPr>
          <w:p w14:paraId="6643C371" w14:textId="77777777" w:rsidR="00767042" w:rsidRDefault="0050402A" w:rsidP="00767042">
            <w:pPr>
              <w:jc w:val="center"/>
            </w:pPr>
            <w:r>
              <w:t>-.498</w:t>
            </w:r>
          </w:p>
        </w:tc>
        <w:tc>
          <w:tcPr>
            <w:tcW w:w="1170" w:type="dxa"/>
            <w:vAlign w:val="center"/>
          </w:tcPr>
          <w:p w14:paraId="50ADA73B" w14:textId="77777777" w:rsidR="00767042" w:rsidRPr="0050402A" w:rsidRDefault="0050402A" w:rsidP="00767042">
            <w:pPr>
              <w:jc w:val="center"/>
              <w:rPr>
                <w:b/>
              </w:rPr>
            </w:pPr>
            <w:r w:rsidRPr="0050402A">
              <w:rPr>
                <w:b/>
              </w:rPr>
              <w:t>-.594</w:t>
            </w:r>
          </w:p>
        </w:tc>
        <w:tc>
          <w:tcPr>
            <w:tcW w:w="1080" w:type="dxa"/>
            <w:vAlign w:val="center"/>
          </w:tcPr>
          <w:p w14:paraId="30F572D4" w14:textId="77777777" w:rsidR="00767042" w:rsidRDefault="0050402A" w:rsidP="00767042">
            <w:pPr>
              <w:jc w:val="center"/>
            </w:pPr>
            <w:r>
              <w:t>-.510</w:t>
            </w:r>
          </w:p>
        </w:tc>
        <w:tc>
          <w:tcPr>
            <w:tcW w:w="1080" w:type="dxa"/>
            <w:vAlign w:val="center"/>
          </w:tcPr>
          <w:p w14:paraId="5342F42C" w14:textId="77777777" w:rsidR="00767042" w:rsidRDefault="0050402A" w:rsidP="00767042">
            <w:pPr>
              <w:jc w:val="center"/>
            </w:pPr>
            <w:r>
              <w:t>-.226</w:t>
            </w:r>
          </w:p>
        </w:tc>
        <w:tc>
          <w:tcPr>
            <w:tcW w:w="1098" w:type="dxa"/>
            <w:vAlign w:val="center"/>
          </w:tcPr>
          <w:p w14:paraId="4A9E2EED" w14:textId="77777777" w:rsidR="00767042" w:rsidRDefault="0050402A" w:rsidP="00767042">
            <w:pPr>
              <w:jc w:val="center"/>
            </w:pPr>
            <w:r>
              <w:t>.023</w:t>
            </w:r>
          </w:p>
        </w:tc>
      </w:tr>
      <w:tr w:rsidR="00767042" w14:paraId="60B26DA4" w14:textId="77777777" w:rsidTr="0050402A">
        <w:tc>
          <w:tcPr>
            <w:tcW w:w="3708" w:type="dxa"/>
            <w:vAlign w:val="center"/>
          </w:tcPr>
          <w:p w14:paraId="57A207EA" w14:textId="77777777" w:rsidR="00767042" w:rsidRDefault="00767042" w:rsidP="00767042">
            <w:r>
              <w:t>100-waiver prescribers number of patients and percent Hispanic</w:t>
            </w:r>
          </w:p>
        </w:tc>
        <w:tc>
          <w:tcPr>
            <w:tcW w:w="1440" w:type="dxa"/>
            <w:vAlign w:val="center"/>
          </w:tcPr>
          <w:p w14:paraId="7E1674A5" w14:textId="77777777" w:rsidR="00767042" w:rsidRDefault="0050402A" w:rsidP="00767042">
            <w:pPr>
              <w:jc w:val="center"/>
            </w:pPr>
            <w:r>
              <w:t>-.262</w:t>
            </w:r>
          </w:p>
        </w:tc>
        <w:tc>
          <w:tcPr>
            <w:tcW w:w="1260" w:type="dxa"/>
            <w:vAlign w:val="center"/>
          </w:tcPr>
          <w:p w14:paraId="3E85D993" w14:textId="77777777" w:rsidR="00767042" w:rsidRDefault="0050402A" w:rsidP="00767042">
            <w:pPr>
              <w:jc w:val="center"/>
            </w:pPr>
            <w:r>
              <w:t>-.209</w:t>
            </w:r>
          </w:p>
        </w:tc>
        <w:tc>
          <w:tcPr>
            <w:tcW w:w="1170" w:type="dxa"/>
            <w:vAlign w:val="center"/>
          </w:tcPr>
          <w:p w14:paraId="2FF8AB27" w14:textId="77777777" w:rsidR="00767042" w:rsidRDefault="0050402A" w:rsidP="00767042">
            <w:pPr>
              <w:jc w:val="center"/>
            </w:pPr>
            <w:r>
              <w:t>-.227</w:t>
            </w:r>
          </w:p>
        </w:tc>
        <w:tc>
          <w:tcPr>
            <w:tcW w:w="1170" w:type="dxa"/>
            <w:vAlign w:val="center"/>
          </w:tcPr>
          <w:p w14:paraId="71CACD55" w14:textId="77777777" w:rsidR="00767042" w:rsidRDefault="0050402A" w:rsidP="00767042">
            <w:pPr>
              <w:jc w:val="center"/>
            </w:pPr>
            <w:r>
              <w:t>-.228</w:t>
            </w:r>
          </w:p>
        </w:tc>
        <w:tc>
          <w:tcPr>
            <w:tcW w:w="1170" w:type="dxa"/>
            <w:vAlign w:val="center"/>
          </w:tcPr>
          <w:p w14:paraId="0C3431BD" w14:textId="77777777" w:rsidR="00767042" w:rsidRDefault="0050402A" w:rsidP="00767042">
            <w:pPr>
              <w:jc w:val="center"/>
            </w:pPr>
            <w:r>
              <w:t>-.412</w:t>
            </w:r>
          </w:p>
        </w:tc>
        <w:tc>
          <w:tcPr>
            <w:tcW w:w="1080" w:type="dxa"/>
            <w:vAlign w:val="center"/>
          </w:tcPr>
          <w:p w14:paraId="4964DCE0" w14:textId="77777777" w:rsidR="00767042" w:rsidRDefault="0050402A" w:rsidP="00767042">
            <w:pPr>
              <w:jc w:val="center"/>
            </w:pPr>
            <w:r>
              <w:t>-.331</w:t>
            </w:r>
          </w:p>
        </w:tc>
        <w:tc>
          <w:tcPr>
            <w:tcW w:w="1080" w:type="dxa"/>
            <w:vAlign w:val="center"/>
          </w:tcPr>
          <w:p w14:paraId="3D7A6693" w14:textId="77777777" w:rsidR="00767042" w:rsidRDefault="0050402A" w:rsidP="00767042">
            <w:pPr>
              <w:jc w:val="center"/>
            </w:pPr>
            <w:r>
              <w:t>-.056</w:t>
            </w:r>
          </w:p>
        </w:tc>
        <w:tc>
          <w:tcPr>
            <w:tcW w:w="1098" w:type="dxa"/>
            <w:vAlign w:val="center"/>
          </w:tcPr>
          <w:p w14:paraId="1BBDF025" w14:textId="77777777" w:rsidR="00767042" w:rsidRDefault="0050402A" w:rsidP="00767042">
            <w:pPr>
              <w:jc w:val="center"/>
            </w:pPr>
            <w:r>
              <w:t>-.029</w:t>
            </w:r>
          </w:p>
        </w:tc>
      </w:tr>
      <w:tr w:rsidR="00767042" w14:paraId="2340B0DD" w14:textId="77777777" w:rsidTr="0050402A">
        <w:tc>
          <w:tcPr>
            <w:tcW w:w="3708" w:type="dxa"/>
            <w:vAlign w:val="center"/>
          </w:tcPr>
          <w:p w14:paraId="3825213E" w14:textId="77777777" w:rsidR="00767042" w:rsidRDefault="00767042" w:rsidP="00767042">
            <w:r>
              <w:t>275-waiver prescribers number of patients and percent black</w:t>
            </w:r>
          </w:p>
        </w:tc>
        <w:tc>
          <w:tcPr>
            <w:tcW w:w="1440" w:type="dxa"/>
            <w:vAlign w:val="center"/>
          </w:tcPr>
          <w:p w14:paraId="03791A40" w14:textId="77777777" w:rsidR="00767042" w:rsidRDefault="0050402A" w:rsidP="00767042">
            <w:pPr>
              <w:jc w:val="center"/>
            </w:pPr>
            <w:r>
              <w:t>-</w:t>
            </w:r>
          </w:p>
        </w:tc>
        <w:tc>
          <w:tcPr>
            <w:tcW w:w="1260" w:type="dxa"/>
            <w:vAlign w:val="center"/>
          </w:tcPr>
          <w:p w14:paraId="57F0AABE" w14:textId="77777777" w:rsidR="00767042" w:rsidRDefault="0050402A" w:rsidP="00767042">
            <w:pPr>
              <w:jc w:val="center"/>
            </w:pPr>
            <w:r>
              <w:t>-</w:t>
            </w:r>
          </w:p>
        </w:tc>
        <w:tc>
          <w:tcPr>
            <w:tcW w:w="1170" w:type="dxa"/>
            <w:vAlign w:val="center"/>
          </w:tcPr>
          <w:p w14:paraId="46D31C48" w14:textId="77777777" w:rsidR="00767042" w:rsidRDefault="0050402A" w:rsidP="00767042">
            <w:pPr>
              <w:jc w:val="center"/>
            </w:pPr>
            <w:r>
              <w:t>-</w:t>
            </w:r>
          </w:p>
        </w:tc>
        <w:tc>
          <w:tcPr>
            <w:tcW w:w="1170" w:type="dxa"/>
            <w:vAlign w:val="center"/>
          </w:tcPr>
          <w:p w14:paraId="2BF0C728" w14:textId="77777777" w:rsidR="00767042" w:rsidRDefault="0050402A" w:rsidP="00767042">
            <w:pPr>
              <w:jc w:val="center"/>
            </w:pPr>
            <w:r>
              <w:t>-</w:t>
            </w:r>
          </w:p>
        </w:tc>
        <w:tc>
          <w:tcPr>
            <w:tcW w:w="1170" w:type="dxa"/>
            <w:vAlign w:val="center"/>
          </w:tcPr>
          <w:p w14:paraId="4F150A92" w14:textId="77777777" w:rsidR="00767042" w:rsidRDefault="0050402A" w:rsidP="00767042">
            <w:pPr>
              <w:jc w:val="center"/>
            </w:pPr>
            <w:r>
              <w:t>-</w:t>
            </w:r>
          </w:p>
        </w:tc>
        <w:tc>
          <w:tcPr>
            <w:tcW w:w="1080" w:type="dxa"/>
            <w:vAlign w:val="center"/>
          </w:tcPr>
          <w:p w14:paraId="75434FFD" w14:textId="77777777" w:rsidR="00767042" w:rsidRDefault="0050402A" w:rsidP="00767042">
            <w:pPr>
              <w:jc w:val="center"/>
            </w:pPr>
            <w:r>
              <w:t>-.380</w:t>
            </w:r>
          </w:p>
        </w:tc>
        <w:tc>
          <w:tcPr>
            <w:tcW w:w="1080" w:type="dxa"/>
            <w:vAlign w:val="center"/>
          </w:tcPr>
          <w:p w14:paraId="32608BA8" w14:textId="77777777" w:rsidR="00767042" w:rsidRDefault="0050402A" w:rsidP="00767042">
            <w:pPr>
              <w:jc w:val="center"/>
            </w:pPr>
            <w:r>
              <w:t>-.554</w:t>
            </w:r>
          </w:p>
        </w:tc>
        <w:tc>
          <w:tcPr>
            <w:tcW w:w="1098" w:type="dxa"/>
            <w:vAlign w:val="center"/>
          </w:tcPr>
          <w:p w14:paraId="3CDA717E" w14:textId="77777777" w:rsidR="00767042" w:rsidRPr="0050402A" w:rsidRDefault="0050402A" w:rsidP="00767042">
            <w:pPr>
              <w:jc w:val="center"/>
              <w:rPr>
                <w:b/>
              </w:rPr>
            </w:pPr>
            <w:r w:rsidRPr="0050402A">
              <w:rPr>
                <w:b/>
              </w:rPr>
              <w:t>-.665</w:t>
            </w:r>
          </w:p>
        </w:tc>
      </w:tr>
      <w:tr w:rsidR="00767042" w14:paraId="1E456349" w14:textId="77777777" w:rsidTr="0050402A">
        <w:tc>
          <w:tcPr>
            <w:tcW w:w="3708" w:type="dxa"/>
            <w:vAlign w:val="center"/>
          </w:tcPr>
          <w:p w14:paraId="03CDC9B5" w14:textId="77777777" w:rsidR="00767042" w:rsidRDefault="00767042" w:rsidP="00767042">
            <w:r>
              <w:t>275-waiver prescribers number of patients and percent Hispanic</w:t>
            </w:r>
          </w:p>
        </w:tc>
        <w:tc>
          <w:tcPr>
            <w:tcW w:w="1440" w:type="dxa"/>
            <w:vAlign w:val="center"/>
          </w:tcPr>
          <w:p w14:paraId="08BFD9CF" w14:textId="77777777" w:rsidR="00767042" w:rsidRDefault="0050402A" w:rsidP="00767042">
            <w:pPr>
              <w:jc w:val="center"/>
            </w:pPr>
            <w:r>
              <w:t>-</w:t>
            </w:r>
          </w:p>
        </w:tc>
        <w:tc>
          <w:tcPr>
            <w:tcW w:w="1260" w:type="dxa"/>
            <w:vAlign w:val="center"/>
          </w:tcPr>
          <w:p w14:paraId="43137E64" w14:textId="77777777" w:rsidR="00767042" w:rsidRDefault="0050402A" w:rsidP="00767042">
            <w:pPr>
              <w:jc w:val="center"/>
            </w:pPr>
            <w:r>
              <w:t>-</w:t>
            </w:r>
          </w:p>
        </w:tc>
        <w:tc>
          <w:tcPr>
            <w:tcW w:w="1170" w:type="dxa"/>
            <w:vAlign w:val="center"/>
          </w:tcPr>
          <w:p w14:paraId="5DE491E7" w14:textId="77777777" w:rsidR="00767042" w:rsidRDefault="0050402A" w:rsidP="00767042">
            <w:pPr>
              <w:jc w:val="center"/>
            </w:pPr>
            <w:r>
              <w:t>-</w:t>
            </w:r>
          </w:p>
        </w:tc>
        <w:tc>
          <w:tcPr>
            <w:tcW w:w="1170" w:type="dxa"/>
            <w:vAlign w:val="center"/>
          </w:tcPr>
          <w:p w14:paraId="24BE2103" w14:textId="77777777" w:rsidR="00767042" w:rsidRDefault="0050402A" w:rsidP="00767042">
            <w:pPr>
              <w:jc w:val="center"/>
            </w:pPr>
            <w:r>
              <w:t>-</w:t>
            </w:r>
          </w:p>
        </w:tc>
        <w:tc>
          <w:tcPr>
            <w:tcW w:w="1170" w:type="dxa"/>
            <w:vAlign w:val="center"/>
          </w:tcPr>
          <w:p w14:paraId="2D053E9E" w14:textId="77777777" w:rsidR="00767042" w:rsidRDefault="0050402A" w:rsidP="00767042">
            <w:pPr>
              <w:jc w:val="center"/>
            </w:pPr>
            <w:r>
              <w:t>-</w:t>
            </w:r>
          </w:p>
        </w:tc>
        <w:tc>
          <w:tcPr>
            <w:tcW w:w="1080" w:type="dxa"/>
            <w:vAlign w:val="center"/>
          </w:tcPr>
          <w:p w14:paraId="3D3FF4A9" w14:textId="77777777" w:rsidR="00767042" w:rsidRDefault="0050402A" w:rsidP="00767042">
            <w:pPr>
              <w:jc w:val="center"/>
            </w:pPr>
            <w:r>
              <w:t>-.100</w:t>
            </w:r>
          </w:p>
        </w:tc>
        <w:tc>
          <w:tcPr>
            <w:tcW w:w="1080" w:type="dxa"/>
            <w:vAlign w:val="center"/>
          </w:tcPr>
          <w:p w14:paraId="5999D940" w14:textId="77777777" w:rsidR="00767042" w:rsidRDefault="0050402A" w:rsidP="00767042">
            <w:pPr>
              <w:jc w:val="center"/>
            </w:pPr>
            <w:r>
              <w:t>-.331</w:t>
            </w:r>
          </w:p>
        </w:tc>
        <w:tc>
          <w:tcPr>
            <w:tcW w:w="1098" w:type="dxa"/>
            <w:vAlign w:val="center"/>
          </w:tcPr>
          <w:p w14:paraId="7E304EA1" w14:textId="77777777" w:rsidR="00767042" w:rsidRDefault="0050402A" w:rsidP="00767042">
            <w:pPr>
              <w:jc w:val="center"/>
            </w:pPr>
            <w:r>
              <w:t>-.351</w:t>
            </w:r>
          </w:p>
        </w:tc>
      </w:tr>
    </w:tbl>
    <w:p w14:paraId="66FEB777" w14:textId="77777777" w:rsidR="00767042" w:rsidRDefault="0050402A" w:rsidP="0050402A">
      <w:pPr>
        <w:spacing w:before="120"/>
      </w:pPr>
      <w:r>
        <w:t xml:space="preserve">Note: Correlations significant at the .05 level are in </w:t>
      </w:r>
      <w:r w:rsidRPr="0050402A">
        <w:rPr>
          <w:b/>
        </w:rPr>
        <w:t>bold</w:t>
      </w:r>
      <w:r>
        <w:t>.</w:t>
      </w:r>
    </w:p>
    <w:p w14:paraId="54D1492A" w14:textId="77777777" w:rsidR="00534598" w:rsidRDefault="0050402A" w:rsidP="00534598">
      <w:r>
        <w:t xml:space="preserve">Instead of looking at the </w:t>
      </w:r>
      <w:r w:rsidR="005E0A52">
        <w:t xml:space="preserve">overall </w:t>
      </w:r>
      <w:r>
        <w:t xml:space="preserve">measure of access to treatment – the ratio of the county-wide average median number of patients for all waivered prescribers, to the county-wide total waiver capacity – we are focusing on </w:t>
      </w:r>
      <w:r w:rsidR="00534598">
        <w:t xml:space="preserve">the numbers of patients </w:t>
      </w:r>
      <w:r w:rsidR="00BA00F3">
        <w:t xml:space="preserve">per prescriber </w:t>
      </w:r>
      <w:r w:rsidR="00534598">
        <w:t xml:space="preserve">for each of the two higher waiver categories. We observe that for correlations of the 100-waiver prescribers’ number of patients with both the percent of black residents and the percent of Hispanic residents, these correlations are negative and relatively consistent from 2011 through 2016. In 2017 and, especially, 2018, however, they decrease substantially in magnitude, becoming essentially zero in 2018. Concurrently, beginning in 2016, correlations of the 275-waiver prescribers’ number of patients with the percent of black and of Hispanic residents </w:t>
      </w:r>
      <w:r w:rsidR="00E34E5C">
        <w:t xml:space="preserve">steadily </w:t>
      </w:r>
      <w:r w:rsidR="00534598">
        <w:t>increase in (negative) magnitude, reaching statistical significance in 2018 with percent of black residents (the number of observations in each table cell i</w:t>
      </w:r>
      <w:r w:rsidR="00057DE6">
        <w:t>s</w:t>
      </w:r>
      <w:r w:rsidR="00534598">
        <w:t xml:space="preserve"> 12; statistical power is </w:t>
      </w:r>
      <w:r w:rsidR="00D541AC">
        <w:t>limited</w:t>
      </w:r>
      <w:r w:rsidR="00534598">
        <w:t xml:space="preserve">). </w:t>
      </w:r>
      <w:r w:rsidR="00582CC6">
        <w:t>In other words, apparent racial/ethnic disparities in access to treatment that were associated with the presence of prescribers waivered for 100 patients for 2011 – 2016, have shifted to become associated with prescribers waivered for 275 patients in the two full years in which that patient limit has existed.</w:t>
      </w:r>
    </w:p>
    <w:p w14:paraId="7BF0B08A" w14:textId="77777777" w:rsidR="00BA5DC1" w:rsidRDefault="00BA5DC1" w:rsidP="00E2783C">
      <w:pPr>
        <w:spacing w:after="0"/>
      </w:pPr>
      <w:r>
        <w:t>We hypothesize that these phenomena are driven by provider access to peer information, support, and resources (or the lack thereof). We describe below properties of prescriber patient-sharing networks – a proxy for prescriber communication networks – likely to reflect such access, and how these properties vary in relation to county demographics.</w:t>
      </w:r>
    </w:p>
    <w:p w14:paraId="5BB187A1" w14:textId="77777777" w:rsidR="00BA5DC1" w:rsidRDefault="00BA5DC1" w:rsidP="00E2783C">
      <w:pPr>
        <w:spacing w:after="0"/>
        <w:sectPr w:rsidR="00BA5DC1" w:rsidSect="00682E75">
          <w:pgSz w:w="15840" w:h="12240" w:orient="landscape"/>
          <w:pgMar w:top="1440" w:right="1440" w:bottom="1440" w:left="1440" w:header="720" w:footer="720" w:gutter="0"/>
          <w:cols w:space="720"/>
          <w:docGrid w:linePitch="360"/>
        </w:sectPr>
      </w:pPr>
    </w:p>
    <w:p w14:paraId="44AD221A" w14:textId="77777777" w:rsidR="00461EF0" w:rsidRPr="00461EF0" w:rsidRDefault="00461EF0" w:rsidP="00461EF0">
      <w:pPr>
        <w:ind w:left="720" w:hanging="720"/>
        <w:rPr>
          <w:b/>
        </w:rPr>
      </w:pPr>
      <w:r w:rsidRPr="00461EF0">
        <w:rPr>
          <w:b/>
        </w:rPr>
        <w:lastRenderedPageBreak/>
        <w:t xml:space="preserve">III.  </w:t>
      </w:r>
      <w:r>
        <w:rPr>
          <w:b/>
        </w:rPr>
        <w:tab/>
      </w:r>
      <w:r w:rsidRPr="00461EF0">
        <w:rPr>
          <w:b/>
        </w:rPr>
        <w:t>How do properties of waivered prescriber patient-sharing networks, thought to reflect prescriber access to peer information, support, and resources, vary in relation to community race and ethnicity?</w:t>
      </w:r>
    </w:p>
    <w:p w14:paraId="41020787" w14:textId="77777777" w:rsidR="00104BE9" w:rsidRPr="00104BE9" w:rsidRDefault="00104BE9" w:rsidP="00104BE9">
      <w:r w:rsidRPr="00104BE9">
        <w:t>A growing body of research has demonstrated that physician shared-patient network ties can both reflect and influence physician behavior. Using Medicare claims data, Barnett and colleagues found that physicians who shared at least 9 patients within a year had a greater than 80% chance of self-reporting professional communication with each other</w:t>
      </w:r>
      <w:r w:rsidR="005A6A24">
        <w:t>.</w:t>
      </w:r>
      <w:r>
        <w:rPr>
          <w:rStyle w:val="FootnoteReference"/>
        </w:rPr>
        <w:footnoteReference w:id="20"/>
      </w:r>
      <w:r w:rsidRPr="00104BE9">
        <w:t xml:space="preserve"> Physician patient-sharing networks have been found to vary geographically</w:t>
      </w:r>
      <w:r w:rsidR="005A6A24">
        <w:t>,</w:t>
      </w:r>
      <w:r>
        <w:rPr>
          <w:rStyle w:val="FootnoteReference"/>
        </w:rPr>
        <w:footnoteReference w:id="21"/>
      </w:r>
      <w:r w:rsidRPr="00104BE9">
        <w:t xml:space="preserve"> across payers</w:t>
      </w:r>
      <w:r w:rsidR="005A6A24">
        <w:t>,</w:t>
      </w:r>
      <w:r>
        <w:rPr>
          <w:rStyle w:val="FootnoteReference"/>
        </w:rPr>
        <w:footnoteReference w:id="22"/>
      </w:r>
      <w:r w:rsidRPr="00104BE9">
        <w:t xml:space="preserve"> and across provider communities</w:t>
      </w:r>
      <w:r w:rsidR="005A6A24">
        <w:t>,</w:t>
      </w:r>
      <w:r>
        <w:rPr>
          <w:rStyle w:val="FootnoteReference"/>
        </w:rPr>
        <w:footnoteReference w:id="23"/>
      </w:r>
      <w:r w:rsidRPr="00104BE9">
        <w:t xml:space="preserve"> while physicians who share relatively many patients tend to exhibit similar prescribing patterns</w:t>
      </w:r>
      <w:r w:rsidRPr="00104BE9">
        <w:rPr>
          <w:vertAlign w:val="superscript"/>
        </w:rPr>
        <w:t>18</w:t>
      </w:r>
      <w:r w:rsidRPr="00104BE9">
        <w:t xml:space="preserve"> and engage in similar cancer treatment protocols</w:t>
      </w:r>
      <w:r w:rsidR="005A6A24">
        <w:t>.</w:t>
      </w:r>
      <w:r>
        <w:rPr>
          <w:rStyle w:val="FootnoteReference"/>
        </w:rPr>
        <w:footnoteReference w:id="24"/>
      </w:r>
      <w:r w:rsidRPr="00104BE9">
        <w:t xml:space="preserve"> Additional validation of the use of shared-patient networks as proxies for physician communication networks is found in research linking properties of such networks with hospital costs and readmission rates</w:t>
      </w:r>
      <w:r w:rsidR="005A6A24">
        <w:t>,</w:t>
      </w:r>
      <w:r>
        <w:rPr>
          <w:rStyle w:val="FootnoteReference"/>
        </w:rPr>
        <w:footnoteReference w:id="25"/>
      </w:r>
      <w:r w:rsidRPr="00104BE9">
        <w:rPr>
          <w:vertAlign w:val="superscript"/>
        </w:rPr>
        <w:t>,</w:t>
      </w:r>
      <w:r>
        <w:rPr>
          <w:rStyle w:val="FootnoteReference"/>
        </w:rPr>
        <w:footnoteReference w:id="26"/>
      </w:r>
      <w:r>
        <w:rPr>
          <w:vertAlign w:val="superscript"/>
        </w:rPr>
        <w:t>,</w:t>
      </w:r>
      <w:r>
        <w:rPr>
          <w:rStyle w:val="FootnoteReference"/>
        </w:rPr>
        <w:footnoteReference w:id="27"/>
      </w:r>
      <w:r w:rsidRPr="00104BE9">
        <w:t xml:space="preserve"> care-sensitive hospital admissions</w:t>
      </w:r>
      <w:r w:rsidR="005A6A24">
        <w:t>,</w:t>
      </w:r>
      <w:r>
        <w:rPr>
          <w:rStyle w:val="FootnoteReference"/>
        </w:rPr>
        <w:footnoteReference w:id="28"/>
      </w:r>
      <w:r w:rsidRPr="00104BE9">
        <w:t xml:space="preserve"> and overall costs of health care and rates of hospitalization</w:t>
      </w:r>
      <w:r w:rsidR="005A6A24">
        <w:t>.</w:t>
      </w:r>
      <w:r>
        <w:rPr>
          <w:rStyle w:val="FootnoteReference"/>
        </w:rPr>
        <w:footnoteReference w:id="29"/>
      </w:r>
      <w:r w:rsidRPr="00104BE9">
        <w:t xml:space="preserve"> Further, providers with many shared patients are less likely to co-prescribe overlapping benzodiazepines compared with providers who share few patients</w:t>
      </w:r>
      <w:r w:rsidR="005A6A24">
        <w:t>.</w:t>
      </w:r>
      <w:r w:rsidR="004C525C">
        <w:rPr>
          <w:rStyle w:val="FootnoteReference"/>
        </w:rPr>
        <w:footnoteReference w:id="30"/>
      </w:r>
    </w:p>
    <w:p w14:paraId="05E795D8" w14:textId="77777777" w:rsidR="00104BE9" w:rsidRPr="00C2540A" w:rsidRDefault="00C2540A">
      <w:pPr>
        <w:rPr>
          <w:b/>
        </w:rPr>
      </w:pPr>
      <w:r w:rsidRPr="00C2540A">
        <w:rPr>
          <w:b/>
        </w:rPr>
        <w:t>Methods</w:t>
      </w:r>
    </w:p>
    <w:p w14:paraId="206C441B" w14:textId="77777777" w:rsidR="00C2540A" w:rsidRDefault="00C2540A">
      <w:r>
        <w:t xml:space="preserve">Following Barnett and colleagues, we constructed patient-sharing networks in each county for each year 2011 – 2018, where only ties of at least 10 shared patients in a year were counted. A patient was </w:t>
      </w:r>
      <w:r>
        <w:lastRenderedPageBreak/>
        <w:t>defined as an individual who received one or more prescriptions of the buprenorphine formulations intended for OUD treatment, following a period of at least 30 days in which no buprenorphine prescriptions had been dispensed to that patient</w:t>
      </w:r>
      <w:r w:rsidR="009E1D93">
        <w:t>.</w:t>
      </w:r>
      <w:r>
        <w:rPr>
          <w:rStyle w:val="FootnoteReference"/>
        </w:rPr>
        <w:footnoteReference w:id="31"/>
      </w:r>
      <w:r>
        <w:t xml:space="preserve"> The waivered prescriber who initially prescribed buprenorphine to the patient was deemed the primary prescriber; other prescribers of buprenorphine to that patient during the year were considered to have shared that patient. The primary prescribers were grouped by county; other prescribers sharing patients with them might be located within or outside the county.</w:t>
      </w:r>
    </w:p>
    <w:p w14:paraId="747D81F8" w14:textId="77777777" w:rsidR="00C2540A" w:rsidRDefault="00C2540A" w:rsidP="00C2540A">
      <w:pPr>
        <w:spacing w:after="0"/>
      </w:pPr>
      <w:r>
        <w:t>We identified several network properties thought to reflect greater provider access to peer information, resources, and support:</w:t>
      </w:r>
    </w:p>
    <w:p w14:paraId="0DEFEFD9" w14:textId="77777777" w:rsidR="00C2540A" w:rsidRDefault="00C2540A" w:rsidP="00C2540A">
      <w:pPr>
        <w:pStyle w:val="ListParagraph"/>
        <w:numPr>
          <w:ilvl w:val="0"/>
          <w:numId w:val="5"/>
        </w:numPr>
        <w:spacing w:after="0"/>
      </w:pPr>
      <w:r w:rsidRPr="00C2540A">
        <w:rPr>
          <w:u w:val="single"/>
        </w:rPr>
        <w:t>Largest connected component</w:t>
      </w:r>
      <w:r>
        <w:t>. This is the largest network component in which each member has at least one shared-patient tie with other members. The larger the percent of prescribers in the network who are part of this component, the greater the likelihood that a prescriber has a communication link with most other prescribers in the network.</w:t>
      </w:r>
      <w:r w:rsidR="00C85817">
        <w:rPr>
          <w:rStyle w:val="FootnoteReference"/>
        </w:rPr>
        <w:footnoteReference w:id="32"/>
      </w:r>
    </w:p>
    <w:p w14:paraId="48D108E9" w14:textId="77777777" w:rsidR="00C2540A" w:rsidRDefault="00C2540A" w:rsidP="00C2540A">
      <w:pPr>
        <w:pStyle w:val="ListParagraph"/>
        <w:numPr>
          <w:ilvl w:val="0"/>
          <w:numId w:val="5"/>
        </w:numPr>
        <w:spacing w:after="0"/>
      </w:pPr>
      <w:r w:rsidRPr="00C2540A">
        <w:rPr>
          <w:u w:val="single"/>
        </w:rPr>
        <w:t>Small World Index</w:t>
      </w:r>
      <w:r>
        <w:t>. A network’s small world-ness has to do with the number of steps (ties) it takes to reach any individual from any other individual in the network. A smaller number reflects greater prescriber access to the other prescribers in the network. The measure is a combination of the clustering coefficient – the extent to which prescribers are tightly connected with one another in subgroups – and the presence of ties between the subgroups, which allows for efficient sharing of information between the groups.</w:t>
      </w:r>
      <w:r w:rsidR="00C85817">
        <w:rPr>
          <w:rStyle w:val="FootnoteReference"/>
        </w:rPr>
        <w:footnoteReference w:id="33"/>
      </w:r>
    </w:p>
    <w:p w14:paraId="164FAB83" w14:textId="77777777" w:rsidR="00C2540A" w:rsidRDefault="00C2540A" w:rsidP="00173FC4">
      <w:pPr>
        <w:pStyle w:val="ListParagraph"/>
        <w:numPr>
          <w:ilvl w:val="0"/>
          <w:numId w:val="5"/>
        </w:numPr>
      </w:pPr>
      <w:r>
        <w:rPr>
          <w:u w:val="single"/>
        </w:rPr>
        <w:t>Centralization</w:t>
      </w:r>
      <w:r w:rsidRPr="00C2540A">
        <w:t>.</w:t>
      </w:r>
      <w:r>
        <w:t xml:space="preserve"> This is the extent to which the network is shaped around relatively few prescribers each of whom has many ties. Such prescribers can act as network “hubs,” in effect tying the network together and helping to reduce the presence of outlier subgroups.</w:t>
      </w:r>
      <w:r w:rsidR="00725F5A">
        <w:t xml:space="preserve"> Values range between 0 and 1.</w:t>
      </w:r>
      <w:r w:rsidR="00391D06">
        <w:rPr>
          <w:rStyle w:val="FootnoteReference"/>
        </w:rPr>
        <w:footnoteReference w:id="34"/>
      </w:r>
    </w:p>
    <w:p w14:paraId="09738467" w14:textId="77777777" w:rsidR="005D4399" w:rsidRDefault="00E11DE0" w:rsidP="005D4399">
      <w:r>
        <w:t>To illustrate these measures, we have diagrammed below the shared-patient networks for buprenorphine prescribers in two different counties in 2018. In Berkshire County, all of the prescribers in the network (i.e., who shared at least 10 patients during the year with at least one other prescriber) are part of a single connected component. Although there are distinct subgroups, or clusters, in the network, these subgroups are connected with one another, so that the Small World Index (SMI) is relatively low at 4.13. The network tends to be organized around several “hubs,” each of whom has many ties; its centralization is moderately high at .384.</w:t>
      </w:r>
    </w:p>
    <w:p w14:paraId="2FAB25A8" w14:textId="77777777" w:rsidR="00725F5A" w:rsidRDefault="00725F5A" w:rsidP="005D4399">
      <w:r>
        <w:t>In contrast, the corresponding network for Bristol County in 2018 consists of several clusters which are not connected with each other. Slightly more than one quarter of prescribers in the network are part of the largest connected component. Because the clusters are not connected, the SMI is relatively high at 26.16. Centralization is relatively low at .124.</w:t>
      </w:r>
    </w:p>
    <w:p w14:paraId="53D06763" w14:textId="77777777" w:rsidR="00BB71A1" w:rsidRDefault="005D4399" w:rsidP="00BB71A1">
      <w:r>
        <w:rPr>
          <w:noProof/>
        </w:rPr>
        <w:lastRenderedPageBreak/>
        <w:drawing>
          <wp:inline distT="0" distB="0" distL="0" distR="0" wp14:anchorId="1A4FA3CC" wp14:editId="7C4B84D3">
            <wp:extent cx="5635434" cy="3485072"/>
            <wp:effectExtent l="0" t="0" r="3810" b="127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232" cy="3486802"/>
                    </a:xfrm>
                    <a:prstGeom prst="rect">
                      <a:avLst/>
                    </a:prstGeom>
                    <a:noFill/>
                    <a:ln>
                      <a:noFill/>
                    </a:ln>
                    <a:effectLst/>
                  </pic:spPr>
                </pic:pic>
              </a:graphicData>
            </a:graphic>
          </wp:inline>
        </w:drawing>
      </w:r>
    </w:p>
    <w:p w14:paraId="7D1B1422" w14:textId="77777777" w:rsidR="005D4399" w:rsidRDefault="00E11DE0" w:rsidP="00BB71A1">
      <w:r>
        <w:t xml:space="preserve">For Berkshire County in 2018, 100% of buprenorphine prescribers in the network </w:t>
      </w:r>
      <w:r w:rsidR="00725F5A">
        <w:t>a</w:t>
      </w:r>
      <w:r>
        <w:t xml:space="preserve">re in the largest connected component. Small World Index (SMI) </w:t>
      </w:r>
      <w:r w:rsidR="00725F5A">
        <w:t>i</w:t>
      </w:r>
      <w:r>
        <w:t xml:space="preserve">s 4.13, and </w:t>
      </w:r>
      <w:r w:rsidR="00725F5A">
        <w:t>c</w:t>
      </w:r>
      <w:r>
        <w:t xml:space="preserve">entralization </w:t>
      </w:r>
      <w:r w:rsidR="00725F5A">
        <w:t>i</w:t>
      </w:r>
      <w:r>
        <w:t>s .384.</w:t>
      </w:r>
    </w:p>
    <w:p w14:paraId="12E04E05" w14:textId="77777777" w:rsidR="005D4399" w:rsidRDefault="005D4399" w:rsidP="00BB71A1">
      <w:r>
        <w:rPr>
          <w:noProof/>
        </w:rPr>
        <w:drawing>
          <wp:inline distT="0" distB="0" distL="0" distR="0" wp14:anchorId="783389EF" wp14:editId="6C3F9C9E">
            <wp:extent cx="5702060" cy="3501741"/>
            <wp:effectExtent l="0" t="0" r="0" b="3810"/>
            <wp:docPr id="102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3213" cy="3502449"/>
                    </a:xfrm>
                    <a:prstGeom prst="rect">
                      <a:avLst/>
                    </a:prstGeom>
                    <a:noFill/>
                    <a:ln>
                      <a:noFill/>
                    </a:ln>
                    <a:effectLst/>
                  </pic:spPr>
                </pic:pic>
              </a:graphicData>
            </a:graphic>
          </wp:inline>
        </w:drawing>
      </w:r>
    </w:p>
    <w:p w14:paraId="421DDE6C" w14:textId="77777777" w:rsidR="00E11DE0" w:rsidRDefault="00E11DE0" w:rsidP="00BB71A1">
      <w:r>
        <w:t xml:space="preserve">In contrast, for Bristol County in 2018, 28.8% of prescribers in the network </w:t>
      </w:r>
      <w:r w:rsidR="00725F5A">
        <w:t>a</w:t>
      </w:r>
      <w:r>
        <w:t xml:space="preserve">re in the largest connected component, SMI </w:t>
      </w:r>
      <w:r w:rsidR="00725F5A">
        <w:t>i</w:t>
      </w:r>
      <w:r>
        <w:t xml:space="preserve">s 26.16, and </w:t>
      </w:r>
      <w:r w:rsidR="00725F5A">
        <w:t>c</w:t>
      </w:r>
      <w:r>
        <w:t xml:space="preserve">entralization </w:t>
      </w:r>
      <w:r w:rsidR="00725F5A">
        <w:t>i</w:t>
      </w:r>
      <w:r>
        <w:t>s .124.</w:t>
      </w:r>
    </w:p>
    <w:p w14:paraId="0EEAAF74" w14:textId="77777777" w:rsidR="00AB71C5" w:rsidRDefault="00173FC4" w:rsidP="00BB71A1">
      <w:r>
        <w:lastRenderedPageBreak/>
        <w:t xml:space="preserve">Using pooled time series models </w:t>
      </w:r>
      <w:proofErr w:type="gramStart"/>
      <w:r>
        <w:t>similar to</w:t>
      </w:r>
      <w:proofErr w:type="gramEnd"/>
      <w:r>
        <w:t xml:space="preserve"> those used above for access to treatment, we conducted </w:t>
      </w:r>
      <w:proofErr w:type="spellStart"/>
      <w:r>
        <w:t>tobit</w:t>
      </w:r>
      <w:proofErr w:type="spellEnd"/>
      <w:r>
        <w:t xml:space="preserve"> regressions with each of these network properties as the dependent variable, in turn, and with the same independent variables as in the previous models. That is, we </w:t>
      </w:r>
      <w:r w:rsidR="00BB71A1">
        <w:t>looked for</w:t>
      </w:r>
      <w:r>
        <w:t xml:space="preserve"> evidence of racial/ethnic disparities in these properties of prescriber patient-sharing networks, controlling for the number of waivered prescribers in the county (per 10,000 population), the </w:t>
      </w:r>
      <w:r w:rsidR="000C40FA">
        <w:t xml:space="preserve">lagged </w:t>
      </w:r>
      <w:r>
        <w:t>overdose death rate</w:t>
      </w:r>
      <w:r w:rsidR="00BB71A1">
        <w:t>, methadone clinics per 100,000 population, and either percent of the population in poverty or the median household income. In a small number of instances, in the earlier years, there were too few waivered prescribers who shared at least 10 patients with other waivered prescribers to obtain measures of these properties. These instances were omitted from the analyses.</w:t>
      </w:r>
    </w:p>
    <w:p w14:paraId="5C599CED" w14:textId="77777777" w:rsidR="00BB71A1" w:rsidRPr="00BB71A1" w:rsidRDefault="00BB71A1" w:rsidP="00BB71A1">
      <w:pPr>
        <w:rPr>
          <w:b/>
        </w:rPr>
      </w:pPr>
      <w:r w:rsidRPr="00BB71A1">
        <w:rPr>
          <w:b/>
        </w:rPr>
        <w:t>Results</w:t>
      </w:r>
    </w:p>
    <w:p w14:paraId="74E61B3E" w14:textId="77777777" w:rsidR="00BB71A1" w:rsidRDefault="00BB71A1" w:rsidP="00874760">
      <w:r>
        <w:t>Results of these analyses are shown in Tables III.1 – III.3 below.</w:t>
      </w:r>
      <w:r w:rsidR="00874760">
        <w:t xml:space="preserve"> Across the years 2011 – 2018, there is strong evidence of racial/ethnic disparities in the network properties of SMI and centralization – SMI (higher values are worse) is positively associated with percent black and percent Hispanic, and centralization is negatively associated with percent black and percent Hispanic. However, there is only slight evidence of a disparity for the percent of prescribers in the largest connected component, which is negatively associated with percent black only with the covariate of percent of residents in poverty.</w:t>
      </w:r>
    </w:p>
    <w:p w14:paraId="3AB00FFC" w14:textId="77777777" w:rsidR="00874760" w:rsidRDefault="004D7DC6" w:rsidP="00095A1A">
      <w:r>
        <w:t xml:space="preserve">Using models similar to those displayed in Table II.1 in the previous section, we assessed associations between each of the network properties and access to treatment. Across all eight years (2011 – 2018), we did not find significant associations. As observed in Figures II.1 and II.2 above, however, there appears to be an inflection point in the two measures that form our access to treatment measure. </w:t>
      </w:r>
      <w:r w:rsidR="000C40FA">
        <w:t xml:space="preserve">Moreover, as depicted in Table II.2, the dynamics of patients for waivered prescribers with different patient limits appears to change starting in 2016 with the advent of the 275-patient limit. </w:t>
      </w:r>
      <w:r>
        <w:t>For th</w:t>
      </w:r>
      <w:r w:rsidR="00095A1A">
        <w:t>e</w:t>
      </w:r>
      <w:r>
        <w:t>s</w:t>
      </w:r>
      <w:r w:rsidR="00095A1A">
        <w:t>e</w:t>
      </w:r>
      <w:r>
        <w:t xml:space="preserve"> reason</w:t>
      </w:r>
      <w:r w:rsidR="00095A1A">
        <w:t>s</w:t>
      </w:r>
      <w:r>
        <w:t>, we conducted separate analyses for the years 2011 – 2014 and 2015 – 2018. For 2011 – 2014, we found no significant associations between the network properties and access to treatment. For 2015 – 2018, however, we found significant associations between each of the network properties and access to treatment, despite the relatively small number of observations (N = 45). These results are presented in Tables III.4</w:t>
      </w:r>
      <w:r w:rsidR="007A343E">
        <w:t>a</w:t>
      </w:r>
      <w:r>
        <w:t xml:space="preserve"> – III.</w:t>
      </w:r>
      <w:r w:rsidR="007A343E">
        <w:t>4c</w:t>
      </w:r>
      <w:r>
        <w:t xml:space="preserve"> below.</w:t>
      </w:r>
      <w:r w:rsidR="00AF7679">
        <w:t xml:space="preserve"> That is, counties with a higher percent of waivered prescribers in the shared-patient network largest connected component, with a smaller Small World Index, and with higher centralization, tended to have higher access to treatment. The models controlled for the number of waivered prescribers in the county per 10,000 population, the opioid-related overdose death rate from the previous year, the number of methadone clinics per 100,000 population, and the percent of residents in poverty or the median household income. </w:t>
      </w:r>
      <w:r w:rsidR="004D4F65">
        <w:t xml:space="preserve">Because these network properties are somewhat correlated (and because of the relatively small number of observations), we </w:t>
      </w:r>
      <w:r w:rsidR="00095A1A">
        <w:t>examined</w:t>
      </w:r>
      <w:r w:rsidR="004D4F65">
        <w:t xml:space="preserve"> them </w:t>
      </w:r>
      <w:r w:rsidR="00095A1A">
        <w:t>in separate models.</w:t>
      </w:r>
    </w:p>
    <w:p w14:paraId="0F621722" w14:textId="77777777" w:rsidR="00874760" w:rsidRDefault="00874760" w:rsidP="00AB71C5">
      <w:pPr>
        <w:spacing w:after="0"/>
      </w:pPr>
    </w:p>
    <w:p w14:paraId="411E2BFF" w14:textId="77777777" w:rsidR="00BB71A1" w:rsidRDefault="00BB71A1" w:rsidP="00AB71C5">
      <w:pPr>
        <w:spacing w:after="0"/>
      </w:pPr>
    </w:p>
    <w:p w14:paraId="3D8ABBC4" w14:textId="77777777" w:rsidR="00C2540A" w:rsidRDefault="00C2540A"/>
    <w:p w14:paraId="0E5217C9" w14:textId="77777777" w:rsidR="00C2540A" w:rsidRDefault="00C2540A"/>
    <w:p w14:paraId="7E673BBA" w14:textId="77777777" w:rsidR="004C525C" w:rsidRDefault="004C525C">
      <w:pPr>
        <w:sectPr w:rsidR="004C525C" w:rsidSect="00461EF0">
          <w:pgSz w:w="12240" w:h="15840"/>
          <w:pgMar w:top="1440" w:right="1440" w:bottom="1440" w:left="1440" w:header="720" w:footer="720" w:gutter="0"/>
          <w:cols w:space="720"/>
          <w:docGrid w:linePitch="360"/>
        </w:sectPr>
      </w:pPr>
    </w:p>
    <w:p w14:paraId="596B5A3C" w14:textId="77777777" w:rsidR="00820D97" w:rsidRDefault="00820D97" w:rsidP="00820D97">
      <w:pPr>
        <w:rPr>
          <w:b/>
        </w:rPr>
      </w:pPr>
      <w:r>
        <w:rPr>
          <w:b/>
        </w:rPr>
        <w:lastRenderedPageBreak/>
        <w:t xml:space="preserve">Table </w:t>
      </w:r>
      <w:r w:rsidR="007F59BF">
        <w:rPr>
          <w:b/>
        </w:rPr>
        <w:t>III.1</w:t>
      </w:r>
      <w:r>
        <w:rPr>
          <w:b/>
        </w:rPr>
        <w:t>: Racial/Ethnic Disparities in P</w:t>
      </w:r>
      <w:r w:rsidR="00DA062A">
        <w:rPr>
          <w:b/>
        </w:rPr>
        <w:t>ercent</w:t>
      </w:r>
      <w:r>
        <w:rPr>
          <w:b/>
        </w:rPr>
        <w:t xml:space="preserve"> of Waivered Prescribers in Largest Connected Component by Massachusetts County, 2011 - 201</w:t>
      </w:r>
      <w:r w:rsidR="00163A89">
        <w:rPr>
          <w:b/>
        </w:rPr>
        <w:t>8</w:t>
      </w:r>
    </w:p>
    <w:p w14:paraId="06719FD2" w14:textId="77777777" w:rsidR="00820D97" w:rsidRDefault="007F59BF" w:rsidP="00820D97">
      <w:pPr>
        <w:spacing w:after="0"/>
      </w:pPr>
      <w:r>
        <w:rPr>
          <w:b/>
        </w:rPr>
        <w:t>III.1</w:t>
      </w:r>
      <w:r w:rsidR="00820D97">
        <w:rPr>
          <w:b/>
        </w:rPr>
        <w:t xml:space="preserve">a. </w:t>
      </w:r>
      <w:r w:rsidR="00820D97" w:rsidRPr="00E52C9F">
        <w:rPr>
          <w:b/>
        </w:rPr>
        <w:t xml:space="preserve">Dependent variable: </w:t>
      </w:r>
      <w:r w:rsidR="00820D97">
        <w:rPr>
          <w:b/>
        </w:rPr>
        <w:t>P</w:t>
      </w:r>
      <w:r w:rsidR="004D5E9E">
        <w:rPr>
          <w:b/>
        </w:rPr>
        <w:t>ercent</w:t>
      </w:r>
      <w:r w:rsidR="00820D97">
        <w:rPr>
          <w:b/>
        </w:rPr>
        <w:t xml:space="preserve"> of Waivered Prescribers in Largest Connected Component</w:t>
      </w:r>
    </w:p>
    <w:tbl>
      <w:tblPr>
        <w:tblStyle w:val="TableGrid"/>
        <w:tblW w:w="13454" w:type="dxa"/>
        <w:tblLook w:val="04A0" w:firstRow="1" w:lastRow="0" w:firstColumn="1" w:lastColumn="0" w:noHBand="0" w:noVBand="1"/>
      </w:tblPr>
      <w:tblGrid>
        <w:gridCol w:w="4248"/>
        <w:gridCol w:w="1530"/>
        <w:gridCol w:w="1440"/>
        <w:gridCol w:w="1440"/>
        <w:gridCol w:w="1800"/>
        <w:gridCol w:w="1530"/>
        <w:gridCol w:w="1466"/>
      </w:tblGrid>
      <w:tr w:rsidR="00820D97" w14:paraId="09A89019" w14:textId="77777777" w:rsidTr="00163A89">
        <w:tc>
          <w:tcPr>
            <w:tcW w:w="4248" w:type="dxa"/>
            <w:vAlign w:val="center"/>
          </w:tcPr>
          <w:p w14:paraId="500CDD9B" w14:textId="77777777" w:rsidR="00820D97" w:rsidRPr="00E52C9F" w:rsidRDefault="00820D97" w:rsidP="00820D97">
            <w:pPr>
              <w:jc w:val="center"/>
              <w:rPr>
                <w:b/>
              </w:rPr>
            </w:pPr>
            <w:r w:rsidRPr="00E52C9F">
              <w:rPr>
                <w:b/>
              </w:rPr>
              <w:t>Ind. variables</w:t>
            </w:r>
          </w:p>
        </w:tc>
        <w:tc>
          <w:tcPr>
            <w:tcW w:w="1530" w:type="dxa"/>
            <w:vAlign w:val="center"/>
          </w:tcPr>
          <w:p w14:paraId="189E647E" w14:textId="77777777" w:rsidR="00820D97" w:rsidRPr="00E52C9F" w:rsidRDefault="00820D97" w:rsidP="00820D97">
            <w:pPr>
              <w:jc w:val="center"/>
              <w:rPr>
                <w:b/>
              </w:rPr>
            </w:pPr>
            <w:r w:rsidRPr="00E52C9F">
              <w:rPr>
                <w:b/>
              </w:rPr>
              <w:t>Coefficient</w:t>
            </w:r>
          </w:p>
        </w:tc>
        <w:tc>
          <w:tcPr>
            <w:tcW w:w="1440" w:type="dxa"/>
            <w:vAlign w:val="center"/>
          </w:tcPr>
          <w:p w14:paraId="0F81FFCE" w14:textId="77777777" w:rsidR="00820D97" w:rsidRPr="00E52C9F" w:rsidRDefault="00820D97" w:rsidP="00820D97">
            <w:pPr>
              <w:jc w:val="center"/>
              <w:rPr>
                <w:b/>
              </w:rPr>
            </w:pPr>
            <w:r>
              <w:rPr>
                <w:b/>
              </w:rPr>
              <w:t>Std. error</w:t>
            </w:r>
          </w:p>
        </w:tc>
        <w:tc>
          <w:tcPr>
            <w:tcW w:w="1440" w:type="dxa"/>
            <w:vAlign w:val="center"/>
          </w:tcPr>
          <w:p w14:paraId="093F4700" w14:textId="77777777" w:rsidR="00820D97" w:rsidRPr="00E52C9F" w:rsidRDefault="00820D97" w:rsidP="00820D97">
            <w:pPr>
              <w:jc w:val="center"/>
              <w:rPr>
                <w:b/>
              </w:rPr>
            </w:pPr>
            <w:r>
              <w:rPr>
                <w:b/>
              </w:rPr>
              <w:t>P-value</w:t>
            </w:r>
          </w:p>
        </w:tc>
        <w:tc>
          <w:tcPr>
            <w:tcW w:w="1800" w:type="dxa"/>
            <w:vAlign w:val="center"/>
          </w:tcPr>
          <w:p w14:paraId="5B937136" w14:textId="77777777" w:rsidR="00820D97" w:rsidRPr="00E52C9F" w:rsidRDefault="00820D97" w:rsidP="00820D97">
            <w:pPr>
              <w:jc w:val="center"/>
              <w:rPr>
                <w:b/>
              </w:rPr>
            </w:pPr>
            <w:r w:rsidRPr="00E52C9F">
              <w:rPr>
                <w:b/>
              </w:rPr>
              <w:t>Coefficient</w:t>
            </w:r>
          </w:p>
        </w:tc>
        <w:tc>
          <w:tcPr>
            <w:tcW w:w="1530" w:type="dxa"/>
            <w:vAlign w:val="center"/>
          </w:tcPr>
          <w:p w14:paraId="426B16E2" w14:textId="77777777" w:rsidR="00820D97" w:rsidRPr="00E52C9F" w:rsidRDefault="00820D97" w:rsidP="00820D97">
            <w:pPr>
              <w:jc w:val="center"/>
              <w:rPr>
                <w:b/>
              </w:rPr>
            </w:pPr>
            <w:r>
              <w:rPr>
                <w:b/>
              </w:rPr>
              <w:t>Std. error</w:t>
            </w:r>
          </w:p>
        </w:tc>
        <w:tc>
          <w:tcPr>
            <w:tcW w:w="1466" w:type="dxa"/>
            <w:vAlign w:val="center"/>
          </w:tcPr>
          <w:p w14:paraId="2159B605" w14:textId="77777777" w:rsidR="00820D97" w:rsidRPr="00E52C9F" w:rsidRDefault="00820D97" w:rsidP="00820D97">
            <w:pPr>
              <w:jc w:val="center"/>
              <w:rPr>
                <w:b/>
              </w:rPr>
            </w:pPr>
            <w:r>
              <w:rPr>
                <w:b/>
              </w:rPr>
              <w:t>P-value</w:t>
            </w:r>
          </w:p>
        </w:tc>
      </w:tr>
      <w:tr w:rsidR="00820D97" w14:paraId="4DEA0FD4" w14:textId="77777777" w:rsidTr="00163A89">
        <w:tc>
          <w:tcPr>
            <w:tcW w:w="4248" w:type="dxa"/>
            <w:vAlign w:val="center"/>
          </w:tcPr>
          <w:p w14:paraId="22ACBDFD" w14:textId="77777777" w:rsidR="00820D97" w:rsidRDefault="00163A89" w:rsidP="00820D97">
            <w:r>
              <w:t>Number of waivered prescribers per 10,000 pop.</w:t>
            </w:r>
          </w:p>
        </w:tc>
        <w:tc>
          <w:tcPr>
            <w:tcW w:w="1530" w:type="dxa"/>
            <w:vAlign w:val="center"/>
          </w:tcPr>
          <w:p w14:paraId="58016182" w14:textId="77777777" w:rsidR="00820D97" w:rsidRPr="004D5E9E" w:rsidRDefault="004D5E9E" w:rsidP="00820D97">
            <w:pPr>
              <w:jc w:val="center"/>
            </w:pPr>
            <w:r w:rsidRPr="004D5E9E">
              <w:t>-.0007</w:t>
            </w:r>
          </w:p>
        </w:tc>
        <w:tc>
          <w:tcPr>
            <w:tcW w:w="1440" w:type="dxa"/>
            <w:vAlign w:val="center"/>
          </w:tcPr>
          <w:p w14:paraId="4806A6D2" w14:textId="77777777" w:rsidR="00820D97" w:rsidRPr="004D5E9E" w:rsidRDefault="004D5E9E" w:rsidP="00820D97">
            <w:pPr>
              <w:jc w:val="center"/>
            </w:pPr>
            <w:r w:rsidRPr="004D5E9E">
              <w:t>.0147</w:t>
            </w:r>
          </w:p>
        </w:tc>
        <w:tc>
          <w:tcPr>
            <w:tcW w:w="1440" w:type="dxa"/>
            <w:vAlign w:val="center"/>
          </w:tcPr>
          <w:p w14:paraId="423AA406" w14:textId="77777777" w:rsidR="00820D97" w:rsidRPr="004D5E9E" w:rsidRDefault="004D5E9E" w:rsidP="00820D97">
            <w:pPr>
              <w:jc w:val="center"/>
            </w:pPr>
            <w:r w:rsidRPr="004D5E9E">
              <w:t>.961</w:t>
            </w:r>
          </w:p>
        </w:tc>
        <w:tc>
          <w:tcPr>
            <w:tcW w:w="1800" w:type="dxa"/>
            <w:vAlign w:val="center"/>
          </w:tcPr>
          <w:p w14:paraId="5EB35CEF" w14:textId="77777777" w:rsidR="00820D97" w:rsidRPr="004D5E9E" w:rsidRDefault="004D5E9E" w:rsidP="00820D97">
            <w:pPr>
              <w:jc w:val="center"/>
            </w:pPr>
            <w:r>
              <w:t>-.0019</w:t>
            </w:r>
          </w:p>
        </w:tc>
        <w:tc>
          <w:tcPr>
            <w:tcW w:w="1530" w:type="dxa"/>
            <w:vAlign w:val="center"/>
          </w:tcPr>
          <w:p w14:paraId="2201261A" w14:textId="77777777" w:rsidR="00820D97" w:rsidRPr="004D5E9E" w:rsidRDefault="004D5E9E" w:rsidP="00820D97">
            <w:pPr>
              <w:jc w:val="center"/>
            </w:pPr>
            <w:r>
              <w:t>.0149</w:t>
            </w:r>
          </w:p>
        </w:tc>
        <w:tc>
          <w:tcPr>
            <w:tcW w:w="1466" w:type="dxa"/>
            <w:vAlign w:val="center"/>
          </w:tcPr>
          <w:p w14:paraId="211F6ECA" w14:textId="77777777" w:rsidR="00820D97" w:rsidRPr="004D5E9E" w:rsidRDefault="004D5E9E" w:rsidP="00820D97">
            <w:pPr>
              <w:jc w:val="center"/>
            </w:pPr>
            <w:r>
              <w:t>.898</w:t>
            </w:r>
          </w:p>
        </w:tc>
      </w:tr>
      <w:tr w:rsidR="00820D97" w14:paraId="612CA3C5" w14:textId="77777777" w:rsidTr="00163A89">
        <w:tc>
          <w:tcPr>
            <w:tcW w:w="4248" w:type="dxa"/>
            <w:vAlign w:val="center"/>
          </w:tcPr>
          <w:p w14:paraId="276E06B1" w14:textId="77777777" w:rsidR="00820D97" w:rsidRDefault="00820D97" w:rsidP="00820D97">
            <w:r>
              <w:t>OD death rate, lagged 1 year</w:t>
            </w:r>
          </w:p>
        </w:tc>
        <w:tc>
          <w:tcPr>
            <w:tcW w:w="1530" w:type="dxa"/>
            <w:vAlign w:val="center"/>
          </w:tcPr>
          <w:p w14:paraId="43038380" w14:textId="77777777" w:rsidR="00820D97" w:rsidRPr="004D5E9E" w:rsidRDefault="004D5E9E" w:rsidP="00820D97">
            <w:pPr>
              <w:jc w:val="center"/>
              <w:rPr>
                <w:b/>
              </w:rPr>
            </w:pPr>
            <w:r w:rsidRPr="004D5E9E">
              <w:rPr>
                <w:b/>
              </w:rPr>
              <w:t>.0048</w:t>
            </w:r>
          </w:p>
        </w:tc>
        <w:tc>
          <w:tcPr>
            <w:tcW w:w="1440" w:type="dxa"/>
            <w:vAlign w:val="center"/>
          </w:tcPr>
          <w:p w14:paraId="78D89F1C" w14:textId="77777777" w:rsidR="00820D97" w:rsidRPr="004D5E9E" w:rsidRDefault="004D5E9E" w:rsidP="00820D97">
            <w:pPr>
              <w:jc w:val="center"/>
              <w:rPr>
                <w:b/>
              </w:rPr>
            </w:pPr>
            <w:r w:rsidRPr="004D5E9E">
              <w:rPr>
                <w:b/>
              </w:rPr>
              <w:t>.0022</w:t>
            </w:r>
          </w:p>
        </w:tc>
        <w:tc>
          <w:tcPr>
            <w:tcW w:w="1440" w:type="dxa"/>
            <w:vAlign w:val="center"/>
          </w:tcPr>
          <w:p w14:paraId="295CFEAB" w14:textId="77777777" w:rsidR="00820D97" w:rsidRPr="004D5E9E" w:rsidRDefault="004D5E9E" w:rsidP="00820D97">
            <w:pPr>
              <w:jc w:val="center"/>
              <w:rPr>
                <w:b/>
              </w:rPr>
            </w:pPr>
            <w:r w:rsidRPr="004D5E9E">
              <w:rPr>
                <w:b/>
              </w:rPr>
              <w:t>.029</w:t>
            </w:r>
          </w:p>
        </w:tc>
        <w:tc>
          <w:tcPr>
            <w:tcW w:w="1800" w:type="dxa"/>
            <w:vAlign w:val="center"/>
          </w:tcPr>
          <w:p w14:paraId="6FA2A595" w14:textId="77777777" w:rsidR="00820D97" w:rsidRPr="004D5E9E" w:rsidRDefault="004D5E9E" w:rsidP="00820D97">
            <w:pPr>
              <w:jc w:val="center"/>
              <w:rPr>
                <w:b/>
              </w:rPr>
            </w:pPr>
            <w:r w:rsidRPr="004D5E9E">
              <w:rPr>
                <w:b/>
              </w:rPr>
              <w:t>.0048</w:t>
            </w:r>
          </w:p>
        </w:tc>
        <w:tc>
          <w:tcPr>
            <w:tcW w:w="1530" w:type="dxa"/>
            <w:vAlign w:val="center"/>
          </w:tcPr>
          <w:p w14:paraId="4DB73F90" w14:textId="77777777" w:rsidR="00820D97" w:rsidRPr="004D5E9E" w:rsidRDefault="004D5E9E" w:rsidP="00820D97">
            <w:pPr>
              <w:jc w:val="center"/>
              <w:rPr>
                <w:b/>
              </w:rPr>
            </w:pPr>
            <w:r w:rsidRPr="004D5E9E">
              <w:rPr>
                <w:b/>
              </w:rPr>
              <w:t>.0023</w:t>
            </w:r>
          </w:p>
        </w:tc>
        <w:tc>
          <w:tcPr>
            <w:tcW w:w="1466" w:type="dxa"/>
            <w:vAlign w:val="center"/>
          </w:tcPr>
          <w:p w14:paraId="0A0E49AA" w14:textId="77777777" w:rsidR="00820D97" w:rsidRPr="004D5E9E" w:rsidRDefault="004D5E9E" w:rsidP="00820D97">
            <w:pPr>
              <w:jc w:val="center"/>
              <w:rPr>
                <w:b/>
              </w:rPr>
            </w:pPr>
            <w:r w:rsidRPr="004D5E9E">
              <w:rPr>
                <w:b/>
              </w:rPr>
              <w:t>.035</w:t>
            </w:r>
          </w:p>
        </w:tc>
      </w:tr>
      <w:tr w:rsidR="00820D97" w14:paraId="0CA586F1" w14:textId="77777777" w:rsidTr="00163A89">
        <w:tc>
          <w:tcPr>
            <w:tcW w:w="4248" w:type="dxa"/>
            <w:vAlign w:val="center"/>
          </w:tcPr>
          <w:p w14:paraId="0893B26F" w14:textId="77777777" w:rsidR="00820D97" w:rsidRDefault="00820D97" w:rsidP="00820D97">
            <w:r>
              <w:t>Methadone clinics per 100,000 pop.</w:t>
            </w:r>
          </w:p>
        </w:tc>
        <w:tc>
          <w:tcPr>
            <w:tcW w:w="1530" w:type="dxa"/>
            <w:vAlign w:val="center"/>
          </w:tcPr>
          <w:p w14:paraId="2530F516" w14:textId="77777777" w:rsidR="00820D97" w:rsidRPr="004D5E9E" w:rsidRDefault="004D5E9E" w:rsidP="00820D97">
            <w:pPr>
              <w:jc w:val="center"/>
            </w:pPr>
            <w:r>
              <w:t>.0600</w:t>
            </w:r>
          </w:p>
        </w:tc>
        <w:tc>
          <w:tcPr>
            <w:tcW w:w="1440" w:type="dxa"/>
            <w:vAlign w:val="center"/>
          </w:tcPr>
          <w:p w14:paraId="62371FA3" w14:textId="77777777" w:rsidR="00820D97" w:rsidRPr="004D5E9E" w:rsidRDefault="004D5E9E" w:rsidP="00820D97">
            <w:pPr>
              <w:jc w:val="center"/>
            </w:pPr>
            <w:r>
              <w:t>.0690</w:t>
            </w:r>
          </w:p>
        </w:tc>
        <w:tc>
          <w:tcPr>
            <w:tcW w:w="1440" w:type="dxa"/>
            <w:vAlign w:val="center"/>
          </w:tcPr>
          <w:p w14:paraId="77C59777" w14:textId="77777777" w:rsidR="00820D97" w:rsidRPr="004D5E9E" w:rsidRDefault="004D5E9E" w:rsidP="00820D97">
            <w:pPr>
              <w:jc w:val="center"/>
            </w:pPr>
            <w:r>
              <w:t>.385</w:t>
            </w:r>
          </w:p>
        </w:tc>
        <w:tc>
          <w:tcPr>
            <w:tcW w:w="1800" w:type="dxa"/>
            <w:vAlign w:val="center"/>
          </w:tcPr>
          <w:p w14:paraId="7250959B" w14:textId="77777777" w:rsidR="00820D97" w:rsidRPr="004D5E9E" w:rsidRDefault="004D5E9E" w:rsidP="00820D97">
            <w:pPr>
              <w:jc w:val="center"/>
            </w:pPr>
            <w:r>
              <w:t>.0709</w:t>
            </w:r>
          </w:p>
        </w:tc>
        <w:tc>
          <w:tcPr>
            <w:tcW w:w="1530" w:type="dxa"/>
            <w:vAlign w:val="center"/>
          </w:tcPr>
          <w:p w14:paraId="1888525F" w14:textId="77777777" w:rsidR="00820D97" w:rsidRPr="004D5E9E" w:rsidRDefault="004D5E9E" w:rsidP="00820D97">
            <w:pPr>
              <w:jc w:val="center"/>
            </w:pPr>
            <w:r>
              <w:t>.0686</w:t>
            </w:r>
          </w:p>
        </w:tc>
        <w:tc>
          <w:tcPr>
            <w:tcW w:w="1466" w:type="dxa"/>
            <w:vAlign w:val="center"/>
          </w:tcPr>
          <w:p w14:paraId="40CCD21D" w14:textId="77777777" w:rsidR="00820D97" w:rsidRPr="004D5E9E" w:rsidRDefault="004D5E9E" w:rsidP="00820D97">
            <w:pPr>
              <w:jc w:val="center"/>
            </w:pPr>
            <w:r>
              <w:t>.301</w:t>
            </w:r>
          </w:p>
        </w:tc>
      </w:tr>
      <w:tr w:rsidR="00820D97" w14:paraId="39DFF82F" w14:textId="77777777" w:rsidTr="00163A89">
        <w:tc>
          <w:tcPr>
            <w:tcW w:w="4248" w:type="dxa"/>
            <w:vAlign w:val="center"/>
          </w:tcPr>
          <w:p w14:paraId="45368E50" w14:textId="77777777" w:rsidR="00820D97" w:rsidRDefault="00820D97" w:rsidP="00820D97">
            <w:r>
              <w:t>Percent of population in poverty</w:t>
            </w:r>
          </w:p>
        </w:tc>
        <w:tc>
          <w:tcPr>
            <w:tcW w:w="1530" w:type="dxa"/>
            <w:vAlign w:val="center"/>
          </w:tcPr>
          <w:p w14:paraId="58FE66D5" w14:textId="77777777" w:rsidR="00820D97" w:rsidRPr="004D5E9E" w:rsidRDefault="004D5E9E" w:rsidP="00820D97">
            <w:pPr>
              <w:jc w:val="center"/>
            </w:pPr>
            <w:r>
              <w:t>.0219</w:t>
            </w:r>
          </w:p>
        </w:tc>
        <w:tc>
          <w:tcPr>
            <w:tcW w:w="1440" w:type="dxa"/>
            <w:vAlign w:val="center"/>
          </w:tcPr>
          <w:p w14:paraId="32BBD611" w14:textId="77777777" w:rsidR="00820D97" w:rsidRPr="004D5E9E" w:rsidRDefault="004D5E9E" w:rsidP="00820D97">
            <w:pPr>
              <w:jc w:val="center"/>
            </w:pPr>
            <w:r>
              <w:t>.0127</w:t>
            </w:r>
          </w:p>
        </w:tc>
        <w:tc>
          <w:tcPr>
            <w:tcW w:w="1440" w:type="dxa"/>
            <w:vAlign w:val="center"/>
          </w:tcPr>
          <w:p w14:paraId="6B101819" w14:textId="77777777" w:rsidR="00820D97" w:rsidRPr="004D5E9E" w:rsidRDefault="004D5E9E" w:rsidP="00820D97">
            <w:pPr>
              <w:jc w:val="center"/>
            </w:pPr>
            <w:r>
              <w:t>.086</w:t>
            </w:r>
          </w:p>
        </w:tc>
        <w:tc>
          <w:tcPr>
            <w:tcW w:w="1800" w:type="dxa"/>
            <w:vAlign w:val="center"/>
          </w:tcPr>
          <w:p w14:paraId="637973B0" w14:textId="77777777" w:rsidR="00820D97" w:rsidRPr="004D5E9E" w:rsidRDefault="004D5E9E" w:rsidP="00820D97">
            <w:pPr>
              <w:jc w:val="center"/>
            </w:pPr>
            <w:r>
              <w:t>.0190</w:t>
            </w:r>
          </w:p>
        </w:tc>
        <w:tc>
          <w:tcPr>
            <w:tcW w:w="1530" w:type="dxa"/>
            <w:vAlign w:val="center"/>
          </w:tcPr>
          <w:p w14:paraId="45580379" w14:textId="77777777" w:rsidR="00820D97" w:rsidRPr="004D5E9E" w:rsidRDefault="004D5E9E" w:rsidP="00820D97">
            <w:pPr>
              <w:jc w:val="center"/>
            </w:pPr>
            <w:r>
              <w:t>.0142</w:t>
            </w:r>
          </w:p>
        </w:tc>
        <w:tc>
          <w:tcPr>
            <w:tcW w:w="1466" w:type="dxa"/>
            <w:vAlign w:val="center"/>
          </w:tcPr>
          <w:p w14:paraId="5C8A1F4F" w14:textId="77777777" w:rsidR="00820D97" w:rsidRPr="004D5E9E" w:rsidRDefault="004D5E9E" w:rsidP="00820D97">
            <w:pPr>
              <w:jc w:val="center"/>
            </w:pPr>
            <w:r>
              <w:t>.181</w:t>
            </w:r>
          </w:p>
        </w:tc>
      </w:tr>
      <w:tr w:rsidR="00820D97" w14:paraId="14256CE3" w14:textId="77777777" w:rsidTr="00163A89">
        <w:tc>
          <w:tcPr>
            <w:tcW w:w="4248" w:type="dxa"/>
            <w:vAlign w:val="center"/>
          </w:tcPr>
          <w:p w14:paraId="6040FEC9" w14:textId="77777777" w:rsidR="00820D97" w:rsidRDefault="00820D97" w:rsidP="00820D97">
            <w:r>
              <w:t>Percent black</w:t>
            </w:r>
          </w:p>
        </w:tc>
        <w:tc>
          <w:tcPr>
            <w:tcW w:w="1530" w:type="dxa"/>
            <w:vAlign w:val="center"/>
          </w:tcPr>
          <w:p w14:paraId="387B4B73" w14:textId="77777777" w:rsidR="00820D97" w:rsidRPr="004D5E9E" w:rsidRDefault="004D5E9E" w:rsidP="00820D97">
            <w:pPr>
              <w:jc w:val="center"/>
              <w:rPr>
                <w:b/>
              </w:rPr>
            </w:pPr>
            <w:r w:rsidRPr="004D5E9E">
              <w:rPr>
                <w:b/>
              </w:rPr>
              <w:t>-2.7765</w:t>
            </w:r>
          </w:p>
        </w:tc>
        <w:tc>
          <w:tcPr>
            <w:tcW w:w="1440" w:type="dxa"/>
            <w:vAlign w:val="center"/>
          </w:tcPr>
          <w:p w14:paraId="6D0A39DD" w14:textId="77777777" w:rsidR="00820D97" w:rsidRPr="004D5E9E" w:rsidRDefault="004D5E9E" w:rsidP="00820D97">
            <w:pPr>
              <w:jc w:val="center"/>
              <w:rPr>
                <w:b/>
              </w:rPr>
            </w:pPr>
            <w:r w:rsidRPr="004D5E9E">
              <w:rPr>
                <w:b/>
              </w:rPr>
              <w:t>1.2276</w:t>
            </w:r>
          </w:p>
        </w:tc>
        <w:tc>
          <w:tcPr>
            <w:tcW w:w="1440" w:type="dxa"/>
            <w:vAlign w:val="center"/>
          </w:tcPr>
          <w:p w14:paraId="3C5AD13D" w14:textId="77777777" w:rsidR="00820D97" w:rsidRPr="004D5E9E" w:rsidRDefault="004D5E9E" w:rsidP="00820D97">
            <w:pPr>
              <w:jc w:val="center"/>
              <w:rPr>
                <w:b/>
              </w:rPr>
            </w:pPr>
            <w:r w:rsidRPr="004D5E9E">
              <w:rPr>
                <w:b/>
              </w:rPr>
              <w:t>.024</w:t>
            </w:r>
          </w:p>
        </w:tc>
        <w:tc>
          <w:tcPr>
            <w:tcW w:w="1800" w:type="dxa"/>
            <w:vAlign w:val="center"/>
          </w:tcPr>
          <w:p w14:paraId="0319F80A" w14:textId="77777777" w:rsidR="00820D97" w:rsidRPr="004D5E9E" w:rsidRDefault="004D5E9E" w:rsidP="00820D97">
            <w:pPr>
              <w:jc w:val="center"/>
            </w:pPr>
            <w:r>
              <w:t>-</w:t>
            </w:r>
          </w:p>
        </w:tc>
        <w:tc>
          <w:tcPr>
            <w:tcW w:w="1530" w:type="dxa"/>
            <w:vAlign w:val="center"/>
          </w:tcPr>
          <w:p w14:paraId="164D5A2C" w14:textId="77777777" w:rsidR="00820D97" w:rsidRPr="004D5E9E" w:rsidRDefault="004D5E9E" w:rsidP="00820D97">
            <w:pPr>
              <w:jc w:val="center"/>
            </w:pPr>
            <w:r>
              <w:t>-</w:t>
            </w:r>
          </w:p>
        </w:tc>
        <w:tc>
          <w:tcPr>
            <w:tcW w:w="1466" w:type="dxa"/>
            <w:vAlign w:val="center"/>
          </w:tcPr>
          <w:p w14:paraId="308908DA" w14:textId="77777777" w:rsidR="00820D97" w:rsidRPr="004D5E9E" w:rsidRDefault="004D5E9E" w:rsidP="00820D97">
            <w:pPr>
              <w:jc w:val="center"/>
            </w:pPr>
            <w:r>
              <w:t>-</w:t>
            </w:r>
          </w:p>
        </w:tc>
      </w:tr>
      <w:tr w:rsidR="00820D97" w14:paraId="4B023DC4" w14:textId="77777777" w:rsidTr="00163A89">
        <w:tc>
          <w:tcPr>
            <w:tcW w:w="4248" w:type="dxa"/>
            <w:vAlign w:val="center"/>
          </w:tcPr>
          <w:p w14:paraId="7ACF0432" w14:textId="77777777" w:rsidR="00820D97" w:rsidRDefault="00820D97" w:rsidP="00820D97">
            <w:r>
              <w:t>Percent Hispanic</w:t>
            </w:r>
          </w:p>
        </w:tc>
        <w:tc>
          <w:tcPr>
            <w:tcW w:w="1530" w:type="dxa"/>
            <w:vAlign w:val="center"/>
          </w:tcPr>
          <w:p w14:paraId="72E0FA28" w14:textId="77777777" w:rsidR="00820D97" w:rsidRPr="004D5E9E" w:rsidRDefault="004D5E9E" w:rsidP="00820D97">
            <w:pPr>
              <w:jc w:val="center"/>
            </w:pPr>
            <w:r>
              <w:t>-</w:t>
            </w:r>
          </w:p>
        </w:tc>
        <w:tc>
          <w:tcPr>
            <w:tcW w:w="1440" w:type="dxa"/>
            <w:vAlign w:val="center"/>
          </w:tcPr>
          <w:p w14:paraId="3BE9C472" w14:textId="77777777" w:rsidR="00820D97" w:rsidRPr="004D5E9E" w:rsidRDefault="004D5E9E" w:rsidP="00820D97">
            <w:pPr>
              <w:jc w:val="center"/>
            </w:pPr>
            <w:r>
              <w:t>-</w:t>
            </w:r>
          </w:p>
        </w:tc>
        <w:tc>
          <w:tcPr>
            <w:tcW w:w="1440" w:type="dxa"/>
            <w:vAlign w:val="center"/>
          </w:tcPr>
          <w:p w14:paraId="12222342" w14:textId="77777777" w:rsidR="00820D97" w:rsidRPr="004D5E9E" w:rsidRDefault="004D5E9E" w:rsidP="00820D97">
            <w:pPr>
              <w:jc w:val="center"/>
            </w:pPr>
            <w:r>
              <w:t>-</w:t>
            </w:r>
          </w:p>
        </w:tc>
        <w:tc>
          <w:tcPr>
            <w:tcW w:w="1800" w:type="dxa"/>
            <w:vAlign w:val="center"/>
          </w:tcPr>
          <w:p w14:paraId="42AF4649" w14:textId="77777777" w:rsidR="00820D97" w:rsidRPr="004D5E9E" w:rsidRDefault="004D5E9E" w:rsidP="00820D97">
            <w:pPr>
              <w:jc w:val="center"/>
            </w:pPr>
            <w:r>
              <w:t>1.2458</w:t>
            </w:r>
          </w:p>
        </w:tc>
        <w:tc>
          <w:tcPr>
            <w:tcW w:w="1530" w:type="dxa"/>
            <w:vAlign w:val="center"/>
          </w:tcPr>
          <w:p w14:paraId="592837E8" w14:textId="77777777" w:rsidR="00820D97" w:rsidRPr="004D5E9E" w:rsidRDefault="004D5E9E" w:rsidP="00820D97">
            <w:pPr>
              <w:jc w:val="center"/>
            </w:pPr>
            <w:r>
              <w:t>.9777</w:t>
            </w:r>
          </w:p>
        </w:tc>
        <w:tc>
          <w:tcPr>
            <w:tcW w:w="1466" w:type="dxa"/>
            <w:vAlign w:val="center"/>
          </w:tcPr>
          <w:p w14:paraId="76F5B3DE" w14:textId="77777777" w:rsidR="00820D97" w:rsidRPr="004D5E9E" w:rsidRDefault="004D5E9E" w:rsidP="00820D97">
            <w:pPr>
              <w:jc w:val="center"/>
            </w:pPr>
            <w:r>
              <w:t>.203</w:t>
            </w:r>
          </w:p>
        </w:tc>
      </w:tr>
      <w:tr w:rsidR="00820D97" w14:paraId="361D5375" w14:textId="77777777" w:rsidTr="00163A89">
        <w:tc>
          <w:tcPr>
            <w:tcW w:w="4248" w:type="dxa"/>
            <w:vAlign w:val="center"/>
          </w:tcPr>
          <w:p w14:paraId="30085442" w14:textId="77777777" w:rsidR="00820D97" w:rsidRDefault="00820D97" w:rsidP="00820D97">
            <w:r>
              <w:t>Constant</w:t>
            </w:r>
          </w:p>
        </w:tc>
        <w:tc>
          <w:tcPr>
            <w:tcW w:w="1530" w:type="dxa"/>
            <w:vAlign w:val="center"/>
          </w:tcPr>
          <w:p w14:paraId="4A952977" w14:textId="77777777" w:rsidR="00820D97" w:rsidRPr="004D5E9E" w:rsidRDefault="004D5E9E" w:rsidP="00820D97">
            <w:pPr>
              <w:jc w:val="center"/>
            </w:pPr>
            <w:r>
              <w:t>.2450</w:t>
            </w:r>
          </w:p>
        </w:tc>
        <w:tc>
          <w:tcPr>
            <w:tcW w:w="1440" w:type="dxa"/>
            <w:vAlign w:val="center"/>
          </w:tcPr>
          <w:p w14:paraId="57648AA1" w14:textId="77777777" w:rsidR="00820D97" w:rsidRPr="004D5E9E" w:rsidRDefault="004D5E9E" w:rsidP="00820D97">
            <w:pPr>
              <w:jc w:val="center"/>
            </w:pPr>
            <w:r>
              <w:t>.1601</w:t>
            </w:r>
          </w:p>
        </w:tc>
        <w:tc>
          <w:tcPr>
            <w:tcW w:w="1440" w:type="dxa"/>
            <w:vAlign w:val="center"/>
          </w:tcPr>
          <w:p w14:paraId="47271881" w14:textId="77777777" w:rsidR="00820D97" w:rsidRPr="004D5E9E" w:rsidRDefault="004D5E9E" w:rsidP="00820D97">
            <w:pPr>
              <w:jc w:val="center"/>
            </w:pPr>
            <w:r>
              <w:t>.118</w:t>
            </w:r>
          </w:p>
        </w:tc>
        <w:tc>
          <w:tcPr>
            <w:tcW w:w="1800" w:type="dxa"/>
            <w:vAlign w:val="center"/>
          </w:tcPr>
          <w:p w14:paraId="41E3FAC9" w14:textId="77777777" w:rsidR="00820D97" w:rsidRPr="004D5E9E" w:rsidRDefault="004D5E9E" w:rsidP="00820D97">
            <w:pPr>
              <w:jc w:val="center"/>
            </w:pPr>
            <w:r>
              <w:t>.2383</w:t>
            </w:r>
          </w:p>
        </w:tc>
        <w:tc>
          <w:tcPr>
            <w:tcW w:w="1530" w:type="dxa"/>
            <w:vAlign w:val="center"/>
          </w:tcPr>
          <w:p w14:paraId="6218B667" w14:textId="77777777" w:rsidR="00820D97" w:rsidRPr="004D5E9E" w:rsidRDefault="004D5E9E" w:rsidP="00820D97">
            <w:pPr>
              <w:jc w:val="center"/>
            </w:pPr>
            <w:r>
              <w:t>.1716</w:t>
            </w:r>
          </w:p>
        </w:tc>
        <w:tc>
          <w:tcPr>
            <w:tcW w:w="1466" w:type="dxa"/>
            <w:vAlign w:val="center"/>
          </w:tcPr>
          <w:p w14:paraId="691A6EE6" w14:textId="77777777" w:rsidR="00820D97" w:rsidRPr="004D5E9E" w:rsidRDefault="004D5E9E" w:rsidP="00820D97">
            <w:pPr>
              <w:jc w:val="center"/>
            </w:pPr>
            <w:r>
              <w:t>.165</w:t>
            </w:r>
          </w:p>
        </w:tc>
      </w:tr>
    </w:tbl>
    <w:p w14:paraId="1E178A8B" w14:textId="77777777" w:rsidR="00820D97" w:rsidRDefault="00820D97" w:rsidP="00820D97">
      <w:pPr>
        <w:spacing w:after="0"/>
        <w:rPr>
          <w:b/>
        </w:rPr>
      </w:pPr>
    </w:p>
    <w:p w14:paraId="082AC493" w14:textId="77777777" w:rsidR="00820D97" w:rsidRDefault="007F59BF" w:rsidP="00820D97">
      <w:pPr>
        <w:spacing w:after="0"/>
      </w:pPr>
      <w:r>
        <w:rPr>
          <w:b/>
        </w:rPr>
        <w:t>III.1</w:t>
      </w:r>
      <w:r w:rsidR="00820D97">
        <w:rPr>
          <w:b/>
        </w:rPr>
        <w:t xml:space="preserve">b. </w:t>
      </w:r>
      <w:r w:rsidR="00820D97" w:rsidRPr="00E52C9F">
        <w:rPr>
          <w:b/>
        </w:rPr>
        <w:t xml:space="preserve">Dependent variable: </w:t>
      </w:r>
      <w:r w:rsidR="00820D97">
        <w:rPr>
          <w:b/>
        </w:rPr>
        <w:t>P</w:t>
      </w:r>
      <w:r w:rsidR="004D5E9E">
        <w:rPr>
          <w:b/>
        </w:rPr>
        <w:t>ercent</w:t>
      </w:r>
      <w:r w:rsidR="00820D97">
        <w:rPr>
          <w:b/>
        </w:rPr>
        <w:t xml:space="preserve"> of Waivered Prescribers in Largest Connected Component</w:t>
      </w:r>
    </w:p>
    <w:tbl>
      <w:tblPr>
        <w:tblStyle w:val="TableGrid"/>
        <w:tblW w:w="13428" w:type="dxa"/>
        <w:tblLook w:val="04A0" w:firstRow="1" w:lastRow="0" w:firstColumn="1" w:lastColumn="0" w:noHBand="0" w:noVBand="1"/>
      </w:tblPr>
      <w:tblGrid>
        <w:gridCol w:w="4248"/>
        <w:gridCol w:w="1530"/>
        <w:gridCol w:w="1440"/>
        <w:gridCol w:w="1440"/>
        <w:gridCol w:w="1800"/>
        <w:gridCol w:w="1530"/>
        <w:gridCol w:w="1440"/>
      </w:tblGrid>
      <w:tr w:rsidR="00820D97" w14:paraId="17AD6C41" w14:textId="77777777" w:rsidTr="00163A89">
        <w:tc>
          <w:tcPr>
            <w:tcW w:w="4248" w:type="dxa"/>
            <w:vAlign w:val="center"/>
          </w:tcPr>
          <w:p w14:paraId="6BC3F937" w14:textId="77777777" w:rsidR="00820D97" w:rsidRPr="00E52C9F" w:rsidRDefault="00820D97" w:rsidP="00820D97">
            <w:pPr>
              <w:jc w:val="center"/>
              <w:rPr>
                <w:b/>
              </w:rPr>
            </w:pPr>
            <w:r w:rsidRPr="00E52C9F">
              <w:rPr>
                <w:b/>
              </w:rPr>
              <w:t>Ind. variables</w:t>
            </w:r>
          </w:p>
        </w:tc>
        <w:tc>
          <w:tcPr>
            <w:tcW w:w="1530" w:type="dxa"/>
            <w:vAlign w:val="center"/>
          </w:tcPr>
          <w:p w14:paraId="583CAD90" w14:textId="77777777" w:rsidR="00820D97" w:rsidRPr="00E52C9F" w:rsidRDefault="00820D97" w:rsidP="00820D97">
            <w:pPr>
              <w:jc w:val="center"/>
              <w:rPr>
                <w:b/>
              </w:rPr>
            </w:pPr>
            <w:r w:rsidRPr="00E52C9F">
              <w:rPr>
                <w:b/>
              </w:rPr>
              <w:t>Coefficient</w:t>
            </w:r>
          </w:p>
        </w:tc>
        <w:tc>
          <w:tcPr>
            <w:tcW w:w="1440" w:type="dxa"/>
            <w:vAlign w:val="center"/>
          </w:tcPr>
          <w:p w14:paraId="2ADB4D72" w14:textId="77777777" w:rsidR="00820D97" w:rsidRPr="00E52C9F" w:rsidRDefault="00820D97" w:rsidP="00820D97">
            <w:pPr>
              <w:jc w:val="center"/>
              <w:rPr>
                <w:b/>
              </w:rPr>
            </w:pPr>
            <w:r>
              <w:rPr>
                <w:b/>
              </w:rPr>
              <w:t>Std. error</w:t>
            </w:r>
          </w:p>
        </w:tc>
        <w:tc>
          <w:tcPr>
            <w:tcW w:w="1440" w:type="dxa"/>
            <w:vAlign w:val="center"/>
          </w:tcPr>
          <w:p w14:paraId="3A36E9FA" w14:textId="77777777" w:rsidR="00820D97" w:rsidRPr="00E52C9F" w:rsidRDefault="00820D97" w:rsidP="00820D97">
            <w:pPr>
              <w:jc w:val="center"/>
              <w:rPr>
                <w:b/>
              </w:rPr>
            </w:pPr>
            <w:r>
              <w:rPr>
                <w:b/>
              </w:rPr>
              <w:t>P-value</w:t>
            </w:r>
          </w:p>
        </w:tc>
        <w:tc>
          <w:tcPr>
            <w:tcW w:w="1800" w:type="dxa"/>
            <w:vAlign w:val="center"/>
          </w:tcPr>
          <w:p w14:paraId="67BAF44F" w14:textId="77777777" w:rsidR="00820D97" w:rsidRPr="00E52C9F" w:rsidRDefault="00820D97" w:rsidP="00820D97">
            <w:pPr>
              <w:jc w:val="center"/>
              <w:rPr>
                <w:b/>
              </w:rPr>
            </w:pPr>
            <w:r w:rsidRPr="00E52C9F">
              <w:rPr>
                <w:b/>
              </w:rPr>
              <w:t>Coefficient</w:t>
            </w:r>
          </w:p>
        </w:tc>
        <w:tc>
          <w:tcPr>
            <w:tcW w:w="1530" w:type="dxa"/>
            <w:vAlign w:val="center"/>
          </w:tcPr>
          <w:p w14:paraId="0A3B6866" w14:textId="77777777" w:rsidR="00820D97" w:rsidRPr="00E52C9F" w:rsidRDefault="00820D97" w:rsidP="00820D97">
            <w:pPr>
              <w:jc w:val="center"/>
              <w:rPr>
                <w:b/>
              </w:rPr>
            </w:pPr>
            <w:r>
              <w:rPr>
                <w:b/>
              </w:rPr>
              <w:t>Std. error</w:t>
            </w:r>
          </w:p>
        </w:tc>
        <w:tc>
          <w:tcPr>
            <w:tcW w:w="1440" w:type="dxa"/>
            <w:vAlign w:val="center"/>
          </w:tcPr>
          <w:p w14:paraId="2420C189" w14:textId="77777777" w:rsidR="00820D97" w:rsidRPr="00E52C9F" w:rsidRDefault="00820D97" w:rsidP="00820D97">
            <w:pPr>
              <w:jc w:val="center"/>
              <w:rPr>
                <w:b/>
              </w:rPr>
            </w:pPr>
            <w:r>
              <w:rPr>
                <w:b/>
              </w:rPr>
              <w:t>P-value</w:t>
            </w:r>
          </w:p>
        </w:tc>
      </w:tr>
      <w:tr w:rsidR="00820D97" w14:paraId="52EFEF6F" w14:textId="77777777" w:rsidTr="00163A89">
        <w:tc>
          <w:tcPr>
            <w:tcW w:w="4248" w:type="dxa"/>
            <w:vAlign w:val="center"/>
          </w:tcPr>
          <w:p w14:paraId="731EB807" w14:textId="77777777" w:rsidR="00820D97" w:rsidRDefault="00163A89" w:rsidP="00820D97">
            <w:r>
              <w:t>Number of waivered prescribers per 10,000 pop.</w:t>
            </w:r>
          </w:p>
        </w:tc>
        <w:tc>
          <w:tcPr>
            <w:tcW w:w="1530" w:type="dxa"/>
            <w:vAlign w:val="center"/>
          </w:tcPr>
          <w:p w14:paraId="7C86CA24" w14:textId="77777777" w:rsidR="00820D97" w:rsidRPr="004D5E9E" w:rsidRDefault="00F40095" w:rsidP="00820D97">
            <w:pPr>
              <w:jc w:val="center"/>
            </w:pPr>
            <w:r>
              <w:t>-.0045</w:t>
            </w:r>
          </w:p>
        </w:tc>
        <w:tc>
          <w:tcPr>
            <w:tcW w:w="1440" w:type="dxa"/>
            <w:vAlign w:val="center"/>
          </w:tcPr>
          <w:p w14:paraId="5A05D2F8" w14:textId="77777777" w:rsidR="00820D97" w:rsidRPr="004D5E9E" w:rsidRDefault="00F40095" w:rsidP="00820D97">
            <w:pPr>
              <w:jc w:val="center"/>
            </w:pPr>
            <w:r>
              <w:t>.0154</w:t>
            </w:r>
          </w:p>
        </w:tc>
        <w:tc>
          <w:tcPr>
            <w:tcW w:w="1440" w:type="dxa"/>
            <w:vAlign w:val="center"/>
          </w:tcPr>
          <w:p w14:paraId="2C7B52BB" w14:textId="77777777" w:rsidR="00820D97" w:rsidRPr="004D5E9E" w:rsidRDefault="00F40095" w:rsidP="00820D97">
            <w:pPr>
              <w:jc w:val="center"/>
            </w:pPr>
            <w:r>
              <w:t>.769</w:t>
            </w:r>
          </w:p>
        </w:tc>
        <w:tc>
          <w:tcPr>
            <w:tcW w:w="1800" w:type="dxa"/>
            <w:vAlign w:val="center"/>
          </w:tcPr>
          <w:p w14:paraId="12219339" w14:textId="77777777" w:rsidR="00820D97" w:rsidRPr="004D5E9E" w:rsidRDefault="00F40095" w:rsidP="00820D97">
            <w:pPr>
              <w:jc w:val="center"/>
            </w:pPr>
            <w:r>
              <w:t>-.0044</w:t>
            </w:r>
          </w:p>
        </w:tc>
        <w:tc>
          <w:tcPr>
            <w:tcW w:w="1530" w:type="dxa"/>
            <w:vAlign w:val="center"/>
          </w:tcPr>
          <w:p w14:paraId="2D19A988" w14:textId="77777777" w:rsidR="00820D97" w:rsidRPr="004D5E9E" w:rsidRDefault="00F40095" w:rsidP="00820D97">
            <w:pPr>
              <w:jc w:val="center"/>
            </w:pPr>
            <w:r>
              <w:t>.-155</w:t>
            </w:r>
          </w:p>
        </w:tc>
        <w:tc>
          <w:tcPr>
            <w:tcW w:w="1440" w:type="dxa"/>
            <w:vAlign w:val="center"/>
          </w:tcPr>
          <w:p w14:paraId="4C89863F" w14:textId="77777777" w:rsidR="00820D97" w:rsidRPr="004D5E9E" w:rsidRDefault="00F40095" w:rsidP="00820D97">
            <w:pPr>
              <w:jc w:val="center"/>
            </w:pPr>
            <w:r>
              <w:t>.776</w:t>
            </w:r>
          </w:p>
        </w:tc>
      </w:tr>
      <w:tr w:rsidR="00820D97" w14:paraId="427DD278" w14:textId="77777777" w:rsidTr="00163A89">
        <w:tc>
          <w:tcPr>
            <w:tcW w:w="4248" w:type="dxa"/>
            <w:vAlign w:val="center"/>
          </w:tcPr>
          <w:p w14:paraId="59C15947" w14:textId="77777777" w:rsidR="00820D97" w:rsidRDefault="00820D97" w:rsidP="00820D97">
            <w:r>
              <w:t>OD death rate, lagged 1 year</w:t>
            </w:r>
          </w:p>
        </w:tc>
        <w:tc>
          <w:tcPr>
            <w:tcW w:w="1530" w:type="dxa"/>
            <w:vAlign w:val="center"/>
          </w:tcPr>
          <w:p w14:paraId="698ADE78" w14:textId="77777777" w:rsidR="00820D97" w:rsidRPr="004D5E9E" w:rsidRDefault="00F40095" w:rsidP="00820D97">
            <w:pPr>
              <w:jc w:val="center"/>
            </w:pPr>
            <w:r>
              <w:t>.0044</w:t>
            </w:r>
          </w:p>
        </w:tc>
        <w:tc>
          <w:tcPr>
            <w:tcW w:w="1440" w:type="dxa"/>
            <w:vAlign w:val="center"/>
          </w:tcPr>
          <w:p w14:paraId="0F858E18" w14:textId="77777777" w:rsidR="00820D97" w:rsidRPr="004D5E9E" w:rsidRDefault="00F40095" w:rsidP="00820D97">
            <w:pPr>
              <w:jc w:val="center"/>
            </w:pPr>
            <w:r>
              <w:t>.0025</w:t>
            </w:r>
          </w:p>
        </w:tc>
        <w:tc>
          <w:tcPr>
            <w:tcW w:w="1440" w:type="dxa"/>
            <w:vAlign w:val="center"/>
          </w:tcPr>
          <w:p w14:paraId="11A8E2CC" w14:textId="77777777" w:rsidR="00820D97" w:rsidRPr="004D5E9E" w:rsidRDefault="00F40095" w:rsidP="00820D97">
            <w:pPr>
              <w:jc w:val="center"/>
            </w:pPr>
            <w:r>
              <w:t>.078</w:t>
            </w:r>
          </w:p>
        </w:tc>
        <w:tc>
          <w:tcPr>
            <w:tcW w:w="1800" w:type="dxa"/>
            <w:vAlign w:val="center"/>
          </w:tcPr>
          <w:p w14:paraId="171168CE" w14:textId="77777777" w:rsidR="00820D97" w:rsidRPr="004D5E9E" w:rsidRDefault="00F40095" w:rsidP="00820D97">
            <w:pPr>
              <w:jc w:val="center"/>
            </w:pPr>
            <w:r>
              <w:t>.0046</w:t>
            </w:r>
          </w:p>
        </w:tc>
        <w:tc>
          <w:tcPr>
            <w:tcW w:w="1530" w:type="dxa"/>
            <w:vAlign w:val="center"/>
          </w:tcPr>
          <w:p w14:paraId="11EE5F43" w14:textId="77777777" w:rsidR="00820D97" w:rsidRPr="004D5E9E" w:rsidRDefault="00F40095" w:rsidP="00820D97">
            <w:pPr>
              <w:jc w:val="center"/>
            </w:pPr>
            <w:r>
              <w:t>.0026</w:t>
            </w:r>
          </w:p>
        </w:tc>
        <w:tc>
          <w:tcPr>
            <w:tcW w:w="1440" w:type="dxa"/>
            <w:vAlign w:val="center"/>
          </w:tcPr>
          <w:p w14:paraId="00C93834" w14:textId="77777777" w:rsidR="00820D97" w:rsidRPr="004D5E9E" w:rsidRDefault="00F40095" w:rsidP="00820D97">
            <w:pPr>
              <w:jc w:val="center"/>
            </w:pPr>
            <w:r>
              <w:t>.078</w:t>
            </w:r>
          </w:p>
        </w:tc>
      </w:tr>
      <w:tr w:rsidR="00820D97" w14:paraId="02109581" w14:textId="77777777" w:rsidTr="00163A89">
        <w:tc>
          <w:tcPr>
            <w:tcW w:w="4248" w:type="dxa"/>
            <w:vAlign w:val="center"/>
          </w:tcPr>
          <w:p w14:paraId="70002C8B" w14:textId="77777777" w:rsidR="00820D97" w:rsidRDefault="00820D97" w:rsidP="00820D97">
            <w:r>
              <w:t>Methadone clinics per 100,000 pop.</w:t>
            </w:r>
          </w:p>
        </w:tc>
        <w:tc>
          <w:tcPr>
            <w:tcW w:w="1530" w:type="dxa"/>
            <w:vAlign w:val="center"/>
          </w:tcPr>
          <w:p w14:paraId="51B9CBD4" w14:textId="77777777" w:rsidR="00820D97" w:rsidRPr="004D5E9E" w:rsidRDefault="00F40095" w:rsidP="00820D97">
            <w:pPr>
              <w:jc w:val="center"/>
            </w:pPr>
            <w:r>
              <w:t>.0688</w:t>
            </w:r>
          </w:p>
        </w:tc>
        <w:tc>
          <w:tcPr>
            <w:tcW w:w="1440" w:type="dxa"/>
            <w:vAlign w:val="center"/>
          </w:tcPr>
          <w:p w14:paraId="5FCD5D41" w14:textId="77777777" w:rsidR="00820D97" w:rsidRPr="004D5E9E" w:rsidRDefault="00F40095" w:rsidP="00820D97">
            <w:pPr>
              <w:jc w:val="center"/>
            </w:pPr>
            <w:r>
              <w:t>.0704</w:t>
            </w:r>
          </w:p>
        </w:tc>
        <w:tc>
          <w:tcPr>
            <w:tcW w:w="1440" w:type="dxa"/>
            <w:vAlign w:val="center"/>
          </w:tcPr>
          <w:p w14:paraId="647F6D43" w14:textId="77777777" w:rsidR="00820D97" w:rsidRPr="004D5E9E" w:rsidRDefault="00F40095" w:rsidP="00CD377A">
            <w:pPr>
              <w:jc w:val="center"/>
            </w:pPr>
            <w:r>
              <w:t>.328</w:t>
            </w:r>
          </w:p>
        </w:tc>
        <w:tc>
          <w:tcPr>
            <w:tcW w:w="1800" w:type="dxa"/>
            <w:vAlign w:val="center"/>
          </w:tcPr>
          <w:p w14:paraId="078F9DB4" w14:textId="77777777" w:rsidR="00820D97" w:rsidRPr="004D5E9E" w:rsidRDefault="00F40095" w:rsidP="00F40095">
            <w:pPr>
              <w:jc w:val="center"/>
            </w:pPr>
            <w:r>
              <w:t>.0710</w:t>
            </w:r>
          </w:p>
        </w:tc>
        <w:tc>
          <w:tcPr>
            <w:tcW w:w="1530" w:type="dxa"/>
            <w:vAlign w:val="center"/>
          </w:tcPr>
          <w:p w14:paraId="2BA1A742" w14:textId="77777777" w:rsidR="00820D97" w:rsidRPr="004D5E9E" w:rsidRDefault="00F40095" w:rsidP="00820D97">
            <w:pPr>
              <w:jc w:val="center"/>
            </w:pPr>
            <w:r>
              <w:t>.0701</w:t>
            </w:r>
          </w:p>
        </w:tc>
        <w:tc>
          <w:tcPr>
            <w:tcW w:w="1440" w:type="dxa"/>
            <w:vAlign w:val="center"/>
          </w:tcPr>
          <w:p w14:paraId="739A5089" w14:textId="77777777" w:rsidR="00820D97" w:rsidRPr="004D5E9E" w:rsidRDefault="00F40095" w:rsidP="00820D97">
            <w:pPr>
              <w:jc w:val="center"/>
            </w:pPr>
            <w:r>
              <w:t>.311</w:t>
            </w:r>
          </w:p>
        </w:tc>
      </w:tr>
      <w:tr w:rsidR="00820D97" w14:paraId="589D1A78" w14:textId="77777777" w:rsidTr="00163A89">
        <w:tc>
          <w:tcPr>
            <w:tcW w:w="4248" w:type="dxa"/>
            <w:vAlign w:val="center"/>
          </w:tcPr>
          <w:p w14:paraId="5144218C" w14:textId="77777777" w:rsidR="00820D97" w:rsidRDefault="00820D97" w:rsidP="00820D97">
            <w:r>
              <w:t>Median household income</w:t>
            </w:r>
          </w:p>
        </w:tc>
        <w:tc>
          <w:tcPr>
            <w:tcW w:w="1530" w:type="dxa"/>
            <w:vAlign w:val="center"/>
          </w:tcPr>
          <w:p w14:paraId="3DC7CDBB" w14:textId="77777777" w:rsidR="00820D97" w:rsidRPr="004D5E9E" w:rsidRDefault="00F40095" w:rsidP="00820D97">
            <w:pPr>
              <w:jc w:val="center"/>
            </w:pPr>
            <w:r>
              <w:t>-2.19e-06</w:t>
            </w:r>
          </w:p>
        </w:tc>
        <w:tc>
          <w:tcPr>
            <w:tcW w:w="1440" w:type="dxa"/>
            <w:vAlign w:val="center"/>
          </w:tcPr>
          <w:p w14:paraId="352C4F8F" w14:textId="77777777" w:rsidR="00820D97" w:rsidRPr="004D5E9E" w:rsidRDefault="00F40095" w:rsidP="00820D97">
            <w:pPr>
              <w:jc w:val="center"/>
            </w:pPr>
            <w:r>
              <w:t>3.57e-06</w:t>
            </w:r>
          </w:p>
        </w:tc>
        <w:tc>
          <w:tcPr>
            <w:tcW w:w="1440" w:type="dxa"/>
            <w:vAlign w:val="center"/>
          </w:tcPr>
          <w:p w14:paraId="7FF4E581" w14:textId="77777777" w:rsidR="00820D97" w:rsidRPr="004D5E9E" w:rsidRDefault="00F40095" w:rsidP="00820D97">
            <w:pPr>
              <w:jc w:val="center"/>
            </w:pPr>
            <w:r>
              <w:t>.540</w:t>
            </w:r>
          </w:p>
        </w:tc>
        <w:tc>
          <w:tcPr>
            <w:tcW w:w="1800" w:type="dxa"/>
            <w:vAlign w:val="center"/>
          </w:tcPr>
          <w:p w14:paraId="71158DC8" w14:textId="77777777" w:rsidR="00820D97" w:rsidRPr="004D5E9E" w:rsidRDefault="00F40095" w:rsidP="00820D97">
            <w:pPr>
              <w:jc w:val="center"/>
            </w:pPr>
            <w:r>
              <w:t>-2.63e-06</w:t>
            </w:r>
          </w:p>
        </w:tc>
        <w:tc>
          <w:tcPr>
            <w:tcW w:w="1530" w:type="dxa"/>
            <w:vAlign w:val="center"/>
          </w:tcPr>
          <w:p w14:paraId="62ED1EAD" w14:textId="77777777" w:rsidR="00820D97" w:rsidRPr="004D5E9E" w:rsidRDefault="00F40095" w:rsidP="00820D97">
            <w:pPr>
              <w:jc w:val="center"/>
            </w:pPr>
            <w:r>
              <w:t>3.85e-06</w:t>
            </w:r>
          </w:p>
        </w:tc>
        <w:tc>
          <w:tcPr>
            <w:tcW w:w="1440" w:type="dxa"/>
            <w:vAlign w:val="center"/>
          </w:tcPr>
          <w:p w14:paraId="3DBEB7C7" w14:textId="77777777" w:rsidR="00820D97" w:rsidRPr="004D5E9E" w:rsidRDefault="00F40095" w:rsidP="00820D97">
            <w:pPr>
              <w:jc w:val="center"/>
            </w:pPr>
            <w:r>
              <w:t>.494</w:t>
            </w:r>
          </w:p>
        </w:tc>
      </w:tr>
      <w:tr w:rsidR="00820D97" w14:paraId="48910820" w14:textId="77777777" w:rsidTr="00163A89">
        <w:tc>
          <w:tcPr>
            <w:tcW w:w="4248" w:type="dxa"/>
            <w:vAlign w:val="center"/>
          </w:tcPr>
          <w:p w14:paraId="1E0D4AE2" w14:textId="77777777" w:rsidR="00820D97" w:rsidRDefault="00820D97" w:rsidP="00820D97">
            <w:r>
              <w:t>Percent black</w:t>
            </w:r>
          </w:p>
        </w:tc>
        <w:tc>
          <w:tcPr>
            <w:tcW w:w="1530" w:type="dxa"/>
            <w:vAlign w:val="center"/>
          </w:tcPr>
          <w:p w14:paraId="7EFE790B" w14:textId="77777777" w:rsidR="00820D97" w:rsidRPr="004D5E9E" w:rsidRDefault="00F40095" w:rsidP="00820D97">
            <w:pPr>
              <w:jc w:val="center"/>
            </w:pPr>
            <w:r>
              <w:t>-1.7853</w:t>
            </w:r>
          </w:p>
        </w:tc>
        <w:tc>
          <w:tcPr>
            <w:tcW w:w="1440" w:type="dxa"/>
            <w:vAlign w:val="center"/>
          </w:tcPr>
          <w:p w14:paraId="03769D00" w14:textId="77777777" w:rsidR="00820D97" w:rsidRPr="004D5E9E" w:rsidRDefault="00F40095" w:rsidP="00820D97">
            <w:pPr>
              <w:jc w:val="center"/>
            </w:pPr>
            <w:r>
              <w:t>1.1358</w:t>
            </w:r>
          </w:p>
        </w:tc>
        <w:tc>
          <w:tcPr>
            <w:tcW w:w="1440" w:type="dxa"/>
            <w:vAlign w:val="center"/>
          </w:tcPr>
          <w:p w14:paraId="7871C22B" w14:textId="77777777" w:rsidR="00820D97" w:rsidRPr="004D5E9E" w:rsidRDefault="00F40095" w:rsidP="00820D97">
            <w:pPr>
              <w:jc w:val="center"/>
            </w:pPr>
            <w:r>
              <w:t>.116</w:t>
            </w:r>
          </w:p>
        </w:tc>
        <w:tc>
          <w:tcPr>
            <w:tcW w:w="1800" w:type="dxa"/>
            <w:vAlign w:val="center"/>
          </w:tcPr>
          <w:p w14:paraId="3F32DC2A" w14:textId="77777777" w:rsidR="00820D97" w:rsidRPr="004D5E9E" w:rsidRDefault="00F40095" w:rsidP="00820D97">
            <w:pPr>
              <w:jc w:val="center"/>
            </w:pPr>
            <w:r>
              <w:t>-</w:t>
            </w:r>
          </w:p>
        </w:tc>
        <w:tc>
          <w:tcPr>
            <w:tcW w:w="1530" w:type="dxa"/>
            <w:vAlign w:val="center"/>
          </w:tcPr>
          <w:p w14:paraId="1D350A81" w14:textId="77777777" w:rsidR="00820D97" w:rsidRPr="004D5E9E" w:rsidRDefault="00F40095" w:rsidP="00820D97">
            <w:pPr>
              <w:jc w:val="center"/>
            </w:pPr>
            <w:r>
              <w:t>-</w:t>
            </w:r>
          </w:p>
        </w:tc>
        <w:tc>
          <w:tcPr>
            <w:tcW w:w="1440" w:type="dxa"/>
            <w:vAlign w:val="center"/>
          </w:tcPr>
          <w:p w14:paraId="16E0C923" w14:textId="77777777" w:rsidR="00820D97" w:rsidRPr="004D5E9E" w:rsidRDefault="00F40095" w:rsidP="00820D97">
            <w:pPr>
              <w:jc w:val="center"/>
            </w:pPr>
            <w:r>
              <w:t>-</w:t>
            </w:r>
          </w:p>
        </w:tc>
      </w:tr>
      <w:tr w:rsidR="00820D97" w14:paraId="11D253DD" w14:textId="77777777" w:rsidTr="00163A89">
        <w:tc>
          <w:tcPr>
            <w:tcW w:w="4248" w:type="dxa"/>
            <w:vAlign w:val="center"/>
          </w:tcPr>
          <w:p w14:paraId="7EF1873E" w14:textId="77777777" w:rsidR="00820D97" w:rsidRDefault="00820D97" w:rsidP="00820D97">
            <w:r>
              <w:t>Percent Hispanic</w:t>
            </w:r>
          </w:p>
        </w:tc>
        <w:tc>
          <w:tcPr>
            <w:tcW w:w="1530" w:type="dxa"/>
            <w:vAlign w:val="center"/>
          </w:tcPr>
          <w:p w14:paraId="12DE4AA4" w14:textId="77777777" w:rsidR="00820D97" w:rsidRPr="004D5E9E" w:rsidRDefault="00F40095" w:rsidP="00820D97">
            <w:pPr>
              <w:jc w:val="center"/>
            </w:pPr>
            <w:r>
              <w:t>-</w:t>
            </w:r>
          </w:p>
        </w:tc>
        <w:tc>
          <w:tcPr>
            <w:tcW w:w="1440" w:type="dxa"/>
            <w:vAlign w:val="center"/>
          </w:tcPr>
          <w:p w14:paraId="74E22574" w14:textId="77777777" w:rsidR="00820D97" w:rsidRPr="004D5E9E" w:rsidRDefault="00F40095" w:rsidP="00820D97">
            <w:pPr>
              <w:jc w:val="center"/>
            </w:pPr>
            <w:r>
              <w:t>-</w:t>
            </w:r>
          </w:p>
        </w:tc>
        <w:tc>
          <w:tcPr>
            <w:tcW w:w="1440" w:type="dxa"/>
            <w:vAlign w:val="center"/>
          </w:tcPr>
          <w:p w14:paraId="22C3D5F8" w14:textId="77777777" w:rsidR="00820D97" w:rsidRPr="004D5E9E" w:rsidRDefault="00F40095" w:rsidP="00820D97">
            <w:pPr>
              <w:jc w:val="center"/>
            </w:pPr>
            <w:r>
              <w:t>-</w:t>
            </w:r>
          </w:p>
        </w:tc>
        <w:tc>
          <w:tcPr>
            <w:tcW w:w="1800" w:type="dxa"/>
            <w:vAlign w:val="center"/>
          </w:tcPr>
          <w:p w14:paraId="4DF44443" w14:textId="77777777" w:rsidR="00820D97" w:rsidRPr="004D5E9E" w:rsidRDefault="00F40095" w:rsidP="00820D97">
            <w:pPr>
              <w:jc w:val="center"/>
            </w:pPr>
            <w:r>
              <w:t>-.7055</w:t>
            </w:r>
          </w:p>
        </w:tc>
        <w:tc>
          <w:tcPr>
            <w:tcW w:w="1530" w:type="dxa"/>
            <w:vAlign w:val="center"/>
          </w:tcPr>
          <w:p w14:paraId="2EEBAEE2" w14:textId="77777777" w:rsidR="00820D97" w:rsidRPr="004D5E9E" w:rsidRDefault="00F40095" w:rsidP="00820D97">
            <w:pPr>
              <w:jc w:val="center"/>
            </w:pPr>
            <w:r>
              <w:t>.8574</w:t>
            </w:r>
          </w:p>
        </w:tc>
        <w:tc>
          <w:tcPr>
            <w:tcW w:w="1440" w:type="dxa"/>
            <w:vAlign w:val="center"/>
          </w:tcPr>
          <w:p w14:paraId="22A0E733" w14:textId="77777777" w:rsidR="00820D97" w:rsidRPr="004D5E9E" w:rsidRDefault="00F40095" w:rsidP="00820D97">
            <w:pPr>
              <w:jc w:val="center"/>
            </w:pPr>
            <w:r>
              <w:t>.411</w:t>
            </w:r>
          </w:p>
        </w:tc>
      </w:tr>
      <w:tr w:rsidR="00820D97" w14:paraId="666F9015" w14:textId="77777777" w:rsidTr="00163A89">
        <w:tc>
          <w:tcPr>
            <w:tcW w:w="4248" w:type="dxa"/>
            <w:vAlign w:val="center"/>
          </w:tcPr>
          <w:p w14:paraId="4CE811F0" w14:textId="77777777" w:rsidR="00820D97" w:rsidRDefault="00820D97" w:rsidP="00820D97">
            <w:r>
              <w:t>Constant</w:t>
            </w:r>
          </w:p>
        </w:tc>
        <w:tc>
          <w:tcPr>
            <w:tcW w:w="1530" w:type="dxa"/>
            <w:vAlign w:val="center"/>
          </w:tcPr>
          <w:p w14:paraId="7E04F70E" w14:textId="77777777" w:rsidR="00820D97" w:rsidRPr="00F40095" w:rsidRDefault="00F40095" w:rsidP="00820D97">
            <w:pPr>
              <w:jc w:val="center"/>
              <w:rPr>
                <w:b/>
              </w:rPr>
            </w:pPr>
            <w:r w:rsidRPr="00F40095">
              <w:rPr>
                <w:b/>
              </w:rPr>
              <w:t>.6054</w:t>
            </w:r>
          </w:p>
        </w:tc>
        <w:tc>
          <w:tcPr>
            <w:tcW w:w="1440" w:type="dxa"/>
            <w:vAlign w:val="center"/>
          </w:tcPr>
          <w:p w14:paraId="1F86D03F" w14:textId="77777777" w:rsidR="00820D97" w:rsidRPr="00F40095" w:rsidRDefault="00F40095" w:rsidP="00820D97">
            <w:pPr>
              <w:jc w:val="center"/>
              <w:rPr>
                <w:b/>
              </w:rPr>
            </w:pPr>
            <w:r w:rsidRPr="00F40095">
              <w:rPr>
                <w:b/>
              </w:rPr>
              <w:t>.2267</w:t>
            </w:r>
          </w:p>
        </w:tc>
        <w:tc>
          <w:tcPr>
            <w:tcW w:w="1440" w:type="dxa"/>
            <w:vAlign w:val="center"/>
          </w:tcPr>
          <w:p w14:paraId="11EFB39E" w14:textId="77777777" w:rsidR="00820D97" w:rsidRPr="00F40095" w:rsidRDefault="00F40095" w:rsidP="00820D97">
            <w:pPr>
              <w:jc w:val="center"/>
              <w:rPr>
                <w:b/>
              </w:rPr>
            </w:pPr>
            <w:r w:rsidRPr="00F40095">
              <w:rPr>
                <w:b/>
              </w:rPr>
              <w:t>.008</w:t>
            </w:r>
          </w:p>
        </w:tc>
        <w:tc>
          <w:tcPr>
            <w:tcW w:w="1800" w:type="dxa"/>
            <w:vAlign w:val="center"/>
          </w:tcPr>
          <w:p w14:paraId="33CA66C0" w14:textId="77777777" w:rsidR="00820D97" w:rsidRPr="00F40095" w:rsidRDefault="00F40095" w:rsidP="00820D97">
            <w:pPr>
              <w:jc w:val="center"/>
              <w:rPr>
                <w:b/>
              </w:rPr>
            </w:pPr>
            <w:r w:rsidRPr="00F40095">
              <w:rPr>
                <w:b/>
              </w:rPr>
              <w:t>.5921</w:t>
            </w:r>
          </w:p>
        </w:tc>
        <w:tc>
          <w:tcPr>
            <w:tcW w:w="1530" w:type="dxa"/>
            <w:vAlign w:val="center"/>
          </w:tcPr>
          <w:p w14:paraId="76D4AFFC" w14:textId="77777777" w:rsidR="00820D97" w:rsidRPr="00F40095" w:rsidRDefault="00F40095" w:rsidP="00820D97">
            <w:pPr>
              <w:jc w:val="center"/>
              <w:rPr>
                <w:b/>
              </w:rPr>
            </w:pPr>
            <w:r w:rsidRPr="00F40095">
              <w:rPr>
                <w:b/>
              </w:rPr>
              <w:t>.2608</w:t>
            </w:r>
          </w:p>
        </w:tc>
        <w:tc>
          <w:tcPr>
            <w:tcW w:w="1440" w:type="dxa"/>
            <w:vAlign w:val="center"/>
          </w:tcPr>
          <w:p w14:paraId="58704763" w14:textId="77777777" w:rsidR="00820D97" w:rsidRPr="00F40095" w:rsidRDefault="00F40095" w:rsidP="00820D97">
            <w:pPr>
              <w:jc w:val="center"/>
              <w:rPr>
                <w:b/>
              </w:rPr>
            </w:pPr>
            <w:r w:rsidRPr="00F40095">
              <w:rPr>
                <w:b/>
              </w:rPr>
              <w:t>.023</w:t>
            </w:r>
          </w:p>
        </w:tc>
      </w:tr>
    </w:tbl>
    <w:p w14:paraId="60F75DC7" w14:textId="77777777" w:rsidR="00820D97" w:rsidRDefault="00820D97" w:rsidP="00820D97">
      <w:pPr>
        <w:spacing w:before="200" w:after="0"/>
      </w:pPr>
      <w:r>
        <w:t xml:space="preserve">Note: Tobit regression controlling for clustering of values by county and year. N = </w:t>
      </w:r>
      <w:r w:rsidR="004D5E9E">
        <w:t>93</w:t>
      </w:r>
      <w:r>
        <w:t xml:space="preserve">. </w:t>
      </w:r>
      <w:r w:rsidR="00A9335A">
        <w:t xml:space="preserve">Parameters significant at the .05 level are in </w:t>
      </w:r>
      <w:r w:rsidR="00A9335A" w:rsidRPr="00761EB9">
        <w:rPr>
          <w:b/>
        </w:rPr>
        <w:t>bold</w:t>
      </w:r>
      <w:r w:rsidR="00A9335A">
        <w:t>.</w:t>
      </w:r>
    </w:p>
    <w:p w14:paraId="0CD58791" w14:textId="77777777" w:rsidR="00163A89" w:rsidRDefault="00163A89">
      <w:pPr>
        <w:rPr>
          <w:b/>
        </w:rPr>
      </w:pPr>
      <w:r>
        <w:rPr>
          <w:b/>
        </w:rPr>
        <w:br w:type="page"/>
      </w:r>
    </w:p>
    <w:p w14:paraId="76BE8B35" w14:textId="77777777" w:rsidR="00820D97" w:rsidRDefault="00820D97" w:rsidP="00820D97">
      <w:pPr>
        <w:rPr>
          <w:b/>
        </w:rPr>
      </w:pPr>
      <w:r>
        <w:rPr>
          <w:b/>
        </w:rPr>
        <w:lastRenderedPageBreak/>
        <w:t xml:space="preserve">Table </w:t>
      </w:r>
      <w:r w:rsidR="007F59BF">
        <w:rPr>
          <w:b/>
        </w:rPr>
        <w:t>III.2</w:t>
      </w:r>
      <w:r>
        <w:rPr>
          <w:b/>
        </w:rPr>
        <w:t>: Racial/Ethnic Disparities in Small World Index by Massachusetts County, 2011 - 201</w:t>
      </w:r>
      <w:r w:rsidR="00352252">
        <w:rPr>
          <w:b/>
        </w:rPr>
        <w:t>8</w:t>
      </w:r>
    </w:p>
    <w:p w14:paraId="06EF5FAD" w14:textId="77777777" w:rsidR="00820D97" w:rsidRDefault="007F59BF" w:rsidP="00820D97">
      <w:pPr>
        <w:spacing w:after="0"/>
      </w:pPr>
      <w:r>
        <w:rPr>
          <w:b/>
        </w:rPr>
        <w:t>III.2</w:t>
      </w:r>
      <w:r w:rsidR="00820D97">
        <w:rPr>
          <w:b/>
        </w:rPr>
        <w:t xml:space="preserve">a. </w:t>
      </w:r>
      <w:r w:rsidR="00820D97" w:rsidRPr="00E52C9F">
        <w:rPr>
          <w:b/>
        </w:rPr>
        <w:t xml:space="preserve">Dependent variable: </w:t>
      </w:r>
      <w:r w:rsidR="00820D97">
        <w:rPr>
          <w:b/>
        </w:rPr>
        <w:t>Small World Index</w:t>
      </w:r>
    </w:p>
    <w:tbl>
      <w:tblPr>
        <w:tblStyle w:val="TableGrid"/>
        <w:tblW w:w="13454" w:type="dxa"/>
        <w:tblLook w:val="04A0" w:firstRow="1" w:lastRow="0" w:firstColumn="1" w:lastColumn="0" w:noHBand="0" w:noVBand="1"/>
      </w:tblPr>
      <w:tblGrid>
        <w:gridCol w:w="2988"/>
        <w:gridCol w:w="1890"/>
        <w:gridCol w:w="1710"/>
        <w:gridCol w:w="1800"/>
        <w:gridCol w:w="1710"/>
        <w:gridCol w:w="1710"/>
        <w:gridCol w:w="1646"/>
      </w:tblGrid>
      <w:tr w:rsidR="00820D97" w14:paraId="0EFC8FF6" w14:textId="77777777" w:rsidTr="00297163">
        <w:tc>
          <w:tcPr>
            <w:tcW w:w="2988" w:type="dxa"/>
            <w:vAlign w:val="center"/>
          </w:tcPr>
          <w:p w14:paraId="28362739" w14:textId="77777777" w:rsidR="00820D97" w:rsidRPr="00E52C9F" w:rsidRDefault="00820D97" w:rsidP="00820D97">
            <w:pPr>
              <w:jc w:val="center"/>
              <w:rPr>
                <w:b/>
              </w:rPr>
            </w:pPr>
            <w:r w:rsidRPr="00E52C9F">
              <w:rPr>
                <w:b/>
              </w:rPr>
              <w:t>Ind. variables</w:t>
            </w:r>
          </w:p>
        </w:tc>
        <w:tc>
          <w:tcPr>
            <w:tcW w:w="1890" w:type="dxa"/>
            <w:vAlign w:val="center"/>
          </w:tcPr>
          <w:p w14:paraId="408B7219" w14:textId="77777777" w:rsidR="00820D97" w:rsidRPr="00E52C9F" w:rsidRDefault="00820D97" w:rsidP="00820D97">
            <w:pPr>
              <w:jc w:val="center"/>
              <w:rPr>
                <w:b/>
              </w:rPr>
            </w:pPr>
            <w:r w:rsidRPr="00E52C9F">
              <w:rPr>
                <w:b/>
              </w:rPr>
              <w:t>Coefficient</w:t>
            </w:r>
          </w:p>
        </w:tc>
        <w:tc>
          <w:tcPr>
            <w:tcW w:w="1710" w:type="dxa"/>
            <w:vAlign w:val="center"/>
          </w:tcPr>
          <w:p w14:paraId="40A5125B" w14:textId="77777777" w:rsidR="00820D97" w:rsidRPr="00E52C9F" w:rsidRDefault="00820D97" w:rsidP="00820D97">
            <w:pPr>
              <w:jc w:val="center"/>
              <w:rPr>
                <w:b/>
              </w:rPr>
            </w:pPr>
            <w:r>
              <w:rPr>
                <w:b/>
              </w:rPr>
              <w:t>Std. error</w:t>
            </w:r>
          </w:p>
        </w:tc>
        <w:tc>
          <w:tcPr>
            <w:tcW w:w="1800" w:type="dxa"/>
            <w:vAlign w:val="center"/>
          </w:tcPr>
          <w:p w14:paraId="17BE0EC5" w14:textId="77777777" w:rsidR="00820D97" w:rsidRPr="00E52C9F" w:rsidRDefault="00820D97" w:rsidP="00820D97">
            <w:pPr>
              <w:jc w:val="center"/>
              <w:rPr>
                <w:b/>
              </w:rPr>
            </w:pPr>
            <w:r>
              <w:rPr>
                <w:b/>
              </w:rPr>
              <w:t>P-value</w:t>
            </w:r>
          </w:p>
        </w:tc>
        <w:tc>
          <w:tcPr>
            <w:tcW w:w="1710" w:type="dxa"/>
            <w:vAlign w:val="center"/>
          </w:tcPr>
          <w:p w14:paraId="714949A5" w14:textId="77777777" w:rsidR="00820D97" w:rsidRPr="00E52C9F" w:rsidRDefault="00820D97" w:rsidP="00820D97">
            <w:pPr>
              <w:jc w:val="center"/>
              <w:rPr>
                <w:b/>
              </w:rPr>
            </w:pPr>
            <w:r w:rsidRPr="00E52C9F">
              <w:rPr>
                <w:b/>
              </w:rPr>
              <w:t>Coefficient</w:t>
            </w:r>
          </w:p>
        </w:tc>
        <w:tc>
          <w:tcPr>
            <w:tcW w:w="1710" w:type="dxa"/>
            <w:vAlign w:val="center"/>
          </w:tcPr>
          <w:p w14:paraId="239B33FB" w14:textId="77777777" w:rsidR="00820D97" w:rsidRPr="00E52C9F" w:rsidRDefault="00820D97" w:rsidP="00820D97">
            <w:pPr>
              <w:jc w:val="center"/>
              <w:rPr>
                <w:b/>
              </w:rPr>
            </w:pPr>
            <w:r>
              <w:rPr>
                <w:b/>
              </w:rPr>
              <w:t>Std. error</w:t>
            </w:r>
          </w:p>
        </w:tc>
        <w:tc>
          <w:tcPr>
            <w:tcW w:w="1646" w:type="dxa"/>
            <w:vAlign w:val="center"/>
          </w:tcPr>
          <w:p w14:paraId="1425F389" w14:textId="77777777" w:rsidR="00820D97" w:rsidRPr="00E52C9F" w:rsidRDefault="00820D97" w:rsidP="00820D97">
            <w:pPr>
              <w:jc w:val="center"/>
              <w:rPr>
                <w:b/>
              </w:rPr>
            </w:pPr>
            <w:r>
              <w:rPr>
                <w:b/>
              </w:rPr>
              <w:t>P-value</w:t>
            </w:r>
          </w:p>
        </w:tc>
      </w:tr>
      <w:tr w:rsidR="00820D97" w14:paraId="3DC7C722" w14:textId="77777777" w:rsidTr="00297163">
        <w:tc>
          <w:tcPr>
            <w:tcW w:w="2988" w:type="dxa"/>
            <w:vAlign w:val="center"/>
          </w:tcPr>
          <w:p w14:paraId="0A2B84E5" w14:textId="77777777" w:rsidR="00820D97" w:rsidRDefault="00A9335A" w:rsidP="00A9335A">
            <w:r>
              <w:t>Number of waivered prescribers</w:t>
            </w:r>
            <w:r w:rsidR="00297163">
              <w:t xml:space="preserve"> per 10,000 pop.</w:t>
            </w:r>
          </w:p>
        </w:tc>
        <w:tc>
          <w:tcPr>
            <w:tcW w:w="1890" w:type="dxa"/>
            <w:vAlign w:val="center"/>
          </w:tcPr>
          <w:p w14:paraId="42960555" w14:textId="77777777" w:rsidR="00820D97" w:rsidRDefault="00352252" w:rsidP="00820D97">
            <w:pPr>
              <w:jc w:val="center"/>
            </w:pPr>
            <w:r>
              <w:t>.0260</w:t>
            </w:r>
          </w:p>
        </w:tc>
        <w:tc>
          <w:tcPr>
            <w:tcW w:w="1710" w:type="dxa"/>
            <w:vAlign w:val="center"/>
          </w:tcPr>
          <w:p w14:paraId="105753F1" w14:textId="77777777" w:rsidR="00820D97" w:rsidRDefault="00352252" w:rsidP="00820D97">
            <w:pPr>
              <w:jc w:val="center"/>
            </w:pPr>
            <w:r>
              <w:t>.0741</w:t>
            </w:r>
          </w:p>
        </w:tc>
        <w:tc>
          <w:tcPr>
            <w:tcW w:w="1800" w:type="dxa"/>
            <w:vAlign w:val="center"/>
          </w:tcPr>
          <w:p w14:paraId="013BF1A9" w14:textId="77777777" w:rsidR="00820D97" w:rsidRDefault="00352252" w:rsidP="00820D97">
            <w:pPr>
              <w:jc w:val="center"/>
            </w:pPr>
            <w:r>
              <w:t>.726</w:t>
            </w:r>
          </w:p>
        </w:tc>
        <w:tc>
          <w:tcPr>
            <w:tcW w:w="1710" w:type="dxa"/>
            <w:vAlign w:val="center"/>
          </w:tcPr>
          <w:p w14:paraId="73B2A134" w14:textId="77777777" w:rsidR="00820D97" w:rsidRPr="00546B85" w:rsidRDefault="00352252" w:rsidP="00820D97">
            <w:pPr>
              <w:jc w:val="center"/>
            </w:pPr>
            <w:r>
              <w:t>.0159</w:t>
            </w:r>
          </w:p>
        </w:tc>
        <w:tc>
          <w:tcPr>
            <w:tcW w:w="1710" w:type="dxa"/>
            <w:vAlign w:val="center"/>
          </w:tcPr>
          <w:p w14:paraId="26DF4CAB" w14:textId="77777777" w:rsidR="00820D97" w:rsidRPr="00EE27A1" w:rsidRDefault="00352252" w:rsidP="00820D97">
            <w:pPr>
              <w:jc w:val="center"/>
            </w:pPr>
            <w:r>
              <w:t>.0717</w:t>
            </w:r>
          </w:p>
        </w:tc>
        <w:tc>
          <w:tcPr>
            <w:tcW w:w="1646" w:type="dxa"/>
            <w:vAlign w:val="center"/>
          </w:tcPr>
          <w:p w14:paraId="5F8CF60A" w14:textId="77777777" w:rsidR="00820D97" w:rsidRPr="00EE27A1" w:rsidRDefault="00352252" w:rsidP="00820D97">
            <w:pPr>
              <w:jc w:val="center"/>
            </w:pPr>
            <w:r>
              <w:t>.824</w:t>
            </w:r>
          </w:p>
        </w:tc>
      </w:tr>
      <w:tr w:rsidR="00820D97" w14:paraId="1F5BDB45" w14:textId="77777777" w:rsidTr="00297163">
        <w:tc>
          <w:tcPr>
            <w:tcW w:w="2988" w:type="dxa"/>
            <w:vAlign w:val="center"/>
          </w:tcPr>
          <w:p w14:paraId="342F339A" w14:textId="77777777" w:rsidR="00820D97" w:rsidRDefault="00820D97" w:rsidP="00820D97">
            <w:r>
              <w:t>OD death rate, lagged 1 year</w:t>
            </w:r>
          </w:p>
        </w:tc>
        <w:tc>
          <w:tcPr>
            <w:tcW w:w="1890" w:type="dxa"/>
            <w:vAlign w:val="center"/>
          </w:tcPr>
          <w:p w14:paraId="11DB6308" w14:textId="77777777" w:rsidR="00820D97" w:rsidRPr="00EE27A1" w:rsidRDefault="00352252" w:rsidP="00820D97">
            <w:pPr>
              <w:jc w:val="center"/>
            </w:pPr>
            <w:r>
              <w:t>-.0087</w:t>
            </w:r>
          </w:p>
        </w:tc>
        <w:tc>
          <w:tcPr>
            <w:tcW w:w="1710" w:type="dxa"/>
            <w:vAlign w:val="center"/>
          </w:tcPr>
          <w:p w14:paraId="2872D358" w14:textId="77777777" w:rsidR="00820D97" w:rsidRPr="00EE27A1" w:rsidRDefault="00352252" w:rsidP="00820D97">
            <w:pPr>
              <w:jc w:val="center"/>
            </w:pPr>
            <w:r>
              <w:t>.0126</w:t>
            </w:r>
          </w:p>
        </w:tc>
        <w:tc>
          <w:tcPr>
            <w:tcW w:w="1800" w:type="dxa"/>
            <w:vAlign w:val="center"/>
          </w:tcPr>
          <w:p w14:paraId="58229B9A" w14:textId="77777777" w:rsidR="00820D97" w:rsidRPr="00EE27A1" w:rsidRDefault="00352252" w:rsidP="00820D97">
            <w:pPr>
              <w:jc w:val="center"/>
            </w:pPr>
            <w:r>
              <w:t>.490</w:t>
            </w:r>
          </w:p>
        </w:tc>
        <w:tc>
          <w:tcPr>
            <w:tcW w:w="1710" w:type="dxa"/>
            <w:vAlign w:val="center"/>
          </w:tcPr>
          <w:p w14:paraId="42B84B78" w14:textId="77777777" w:rsidR="00820D97" w:rsidRPr="00EE27A1" w:rsidRDefault="00352252" w:rsidP="00820D97">
            <w:pPr>
              <w:jc w:val="center"/>
            </w:pPr>
            <w:r>
              <w:t>-.0124</w:t>
            </w:r>
          </w:p>
        </w:tc>
        <w:tc>
          <w:tcPr>
            <w:tcW w:w="1710" w:type="dxa"/>
            <w:vAlign w:val="center"/>
          </w:tcPr>
          <w:p w14:paraId="33342358" w14:textId="77777777" w:rsidR="00820D97" w:rsidRPr="00EE27A1" w:rsidRDefault="00352252" w:rsidP="00820D97">
            <w:pPr>
              <w:jc w:val="center"/>
            </w:pPr>
            <w:r>
              <w:t>.0130</w:t>
            </w:r>
          </w:p>
        </w:tc>
        <w:tc>
          <w:tcPr>
            <w:tcW w:w="1646" w:type="dxa"/>
            <w:vAlign w:val="center"/>
          </w:tcPr>
          <w:p w14:paraId="723CBE42" w14:textId="77777777" w:rsidR="00820D97" w:rsidRPr="00EE27A1" w:rsidRDefault="00352252" w:rsidP="00820D97">
            <w:pPr>
              <w:jc w:val="center"/>
            </w:pPr>
            <w:r>
              <w:t>.342</w:t>
            </w:r>
          </w:p>
        </w:tc>
      </w:tr>
      <w:tr w:rsidR="00820D97" w14:paraId="403CF954" w14:textId="77777777" w:rsidTr="00297163">
        <w:tc>
          <w:tcPr>
            <w:tcW w:w="2988" w:type="dxa"/>
            <w:vAlign w:val="center"/>
          </w:tcPr>
          <w:p w14:paraId="21F7B21F" w14:textId="77777777" w:rsidR="00820D97" w:rsidRDefault="00820D97" w:rsidP="00820D97">
            <w:r>
              <w:t>Methadone clinics per 100,000 pop.</w:t>
            </w:r>
          </w:p>
        </w:tc>
        <w:tc>
          <w:tcPr>
            <w:tcW w:w="1890" w:type="dxa"/>
            <w:vAlign w:val="center"/>
          </w:tcPr>
          <w:p w14:paraId="367910C0" w14:textId="77777777" w:rsidR="00820D97" w:rsidRDefault="00352252" w:rsidP="00820D97">
            <w:pPr>
              <w:jc w:val="center"/>
            </w:pPr>
            <w:r>
              <w:t>-.2219</w:t>
            </w:r>
          </w:p>
        </w:tc>
        <w:tc>
          <w:tcPr>
            <w:tcW w:w="1710" w:type="dxa"/>
            <w:vAlign w:val="center"/>
          </w:tcPr>
          <w:p w14:paraId="5D846626" w14:textId="77777777" w:rsidR="00820D97" w:rsidRDefault="00352252" w:rsidP="00820D97">
            <w:pPr>
              <w:jc w:val="center"/>
            </w:pPr>
            <w:r>
              <w:t>.4757</w:t>
            </w:r>
          </w:p>
        </w:tc>
        <w:tc>
          <w:tcPr>
            <w:tcW w:w="1800" w:type="dxa"/>
            <w:vAlign w:val="center"/>
          </w:tcPr>
          <w:p w14:paraId="3B4F95D3" w14:textId="77777777" w:rsidR="00820D97" w:rsidRDefault="00352252" w:rsidP="00820D97">
            <w:pPr>
              <w:jc w:val="center"/>
            </w:pPr>
            <w:r>
              <w:t>.641</w:t>
            </w:r>
          </w:p>
        </w:tc>
        <w:tc>
          <w:tcPr>
            <w:tcW w:w="1710" w:type="dxa"/>
            <w:vAlign w:val="center"/>
          </w:tcPr>
          <w:p w14:paraId="77338735" w14:textId="77777777" w:rsidR="00820D97" w:rsidRDefault="00352252" w:rsidP="00820D97">
            <w:pPr>
              <w:jc w:val="center"/>
            </w:pPr>
            <w:r>
              <w:t>-.3923</w:t>
            </w:r>
          </w:p>
        </w:tc>
        <w:tc>
          <w:tcPr>
            <w:tcW w:w="1710" w:type="dxa"/>
            <w:vAlign w:val="center"/>
          </w:tcPr>
          <w:p w14:paraId="0ED6E801" w14:textId="77777777" w:rsidR="00820D97" w:rsidRPr="00EE27A1" w:rsidRDefault="00352252" w:rsidP="00820D97">
            <w:pPr>
              <w:jc w:val="center"/>
            </w:pPr>
            <w:r>
              <w:t>.4761</w:t>
            </w:r>
          </w:p>
        </w:tc>
        <w:tc>
          <w:tcPr>
            <w:tcW w:w="1646" w:type="dxa"/>
            <w:vAlign w:val="center"/>
          </w:tcPr>
          <w:p w14:paraId="658F29A1" w14:textId="77777777" w:rsidR="00820D97" w:rsidRPr="00EE27A1" w:rsidRDefault="00352252" w:rsidP="00820D97">
            <w:pPr>
              <w:jc w:val="center"/>
            </w:pPr>
            <w:r>
              <w:t>.410</w:t>
            </w:r>
          </w:p>
        </w:tc>
      </w:tr>
      <w:tr w:rsidR="00820D97" w14:paraId="0FAA52A4" w14:textId="77777777" w:rsidTr="00297163">
        <w:tc>
          <w:tcPr>
            <w:tcW w:w="2988" w:type="dxa"/>
            <w:vAlign w:val="center"/>
          </w:tcPr>
          <w:p w14:paraId="7E35DE4F" w14:textId="77777777" w:rsidR="00820D97" w:rsidRDefault="00820D97" w:rsidP="00820D97">
            <w:r>
              <w:t>Percent of population in poverty</w:t>
            </w:r>
          </w:p>
        </w:tc>
        <w:tc>
          <w:tcPr>
            <w:tcW w:w="1890" w:type="dxa"/>
            <w:vAlign w:val="center"/>
          </w:tcPr>
          <w:p w14:paraId="739E71E2" w14:textId="77777777" w:rsidR="00820D97" w:rsidRPr="00546B85" w:rsidRDefault="00352252" w:rsidP="00820D97">
            <w:pPr>
              <w:jc w:val="center"/>
            </w:pPr>
            <w:r>
              <w:t>-.0259</w:t>
            </w:r>
          </w:p>
        </w:tc>
        <w:tc>
          <w:tcPr>
            <w:tcW w:w="1710" w:type="dxa"/>
            <w:vAlign w:val="center"/>
          </w:tcPr>
          <w:p w14:paraId="2083EE9A" w14:textId="77777777" w:rsidR="00820D97" w:rsidRPr="00546B85" w:rsidRDefault="00352252" w:rsidP="00820D97">
            <w:pPr>
              <w:jc w:val="center"/>
            </w:pPr>
            <w:r>
              <w:t>.0666</w:t>
            </w:r>
          </w:p>
        </w:tc>
        <w:tc>
          <w:tcPr>
            <w:tcW w:w="1800" w:type="dxa"/>
            <w:vAlign w:val="center"/>
          </w:tcPr>
          <w:p w14:paraId="00655B66" w14:textId="77777777" w:rsidR="00820D97" w:rsidRPr="00546B85" w:rsidRDefault="00352252" w:rsidP="00820D97">
            <w:pPr>
              <w:jc w:val="center"/>
            </w:pPr>
            <w:r>
              <w:t>.697</w:t>
            </w:r>
          </w:p>
        </w:tc>
        <w:tc>
          <w:tcPr>
            <w:tcW w:w="1710" w:type="dxa"/>
            <w:vAlign w:val="center"/>
          </w:tcPr>
          <w:p w14:paraId="4B6FF62D" w14:textId="77777777" w:rsidR="00820D97" w:rsidRPr="00546B85" w:rsidRDefault="00352252" w:rsidP="00820D97">
            <w:pPr>
              <w:jc w:val="center"/>
            </w:pPr>
            <w:r>
              <w:t>-.0520</w:t>
            </w:r>
          </w:p>
        </w:tc>
        <w:tc>
          <w:tcPr>
            <w:tcW w:w="1710" w:type="dxa"/>
            <w:vAlign w:val="center"/>
          </w:tcPr>
          <w:p w14:paraId="2143F6F1" w14:textId="77777777" w:rsidR="00820D97" w:rsidRPr="00EE27A1" w:rsidRDefault="00352252" w:rsidP="00820D97">
            <w:pPr>
              <w:jc w:val="center"/>
            </w:pPr>
            <w:r>
              <w:t>.0705</w:t>
            </w:r>
          </w:p>
        </w:tc>
        <w:tc>
          <w:tcPr>
            <w:tcW w:w="1646" w:type="dxa"/>
            <w:vAlign w:val="center"/>
          </w:tcPr>
          <w:p w14:paraId="47652E34" w14:textId="77777777" w:rsidR="00820D97" w:rsidRPr="00EE27A1" w:rsidRDefault="00352252" w:rsidP="00820D97">
            <w:pPr>
              <w:jc w:val="center"/>
            </w:pPr>
            <w:r>
              <w:t>.461</w:t>
            </w:r>
          </w:p>
        </w:tc>
      </w:tr>
      <w:tr w:rsidR="00820D97" w14:paraId="6D8DA9DD" w14:textId="77777777" w:rsidTr="00297163">
        <w:tc>
          <w:tcPr>
            <w:tcW w:w="2988" w:type="dxa"/>
            <w:vAlign w:val="center"/>
          </w:tcPr>
          <w:p w14:paraId="14311793" w14:textId="77777777" w:rsidR="00820D97" w:rsidRDefault="00820D97" w:rsidP="00820D97">
            <w:r>
              <w:t>Percent black</w:t>
            </w:r>
          </w:p>
        </w:tc>
        <w:tc>
          <w:tcPr>
            <w:tcW w:w="1890" w:type="dxa"/>
            <w:vAlign w:val="center"/>
          </w:tcPr>
          <w:p w14:paraId="3A622C82" w14:textId="77777777" w:rsidR="00820D97" w:rsidRPr="00352252" w:rsidRDefault="00352252" w:rsidP="00820D97">
            <w:pPr>
              <w:jc w:val="center"/>
              <w:rPr>
                <w:b/>
              </w:rPr>
            </w:pPr>
            <w:r w:rsidRPr="00352252">
              <w:rPr>
                <w:b/>
              </w:rPr>
              <w:t>11.3412</w:t>
            </w:r>
          </w:p>
        </w:tc>
        <w:tc>
          <w:tcPr>
            <w:tcW w:w="1710" w:type="dxa"/>
            <w:vAlign w:val="center"/>
          </w:tcPr>
          <w:p w14:paraId="6352435A" w14:textId="77777777" w:rsidR="00820D97" w:rsidRPr="00352252" w:rsidRDefault="00352252" w:rsidP="00820D97">
            <w:pPr>
              <w:jc w:val="center"/>
              <w:rPr>
                <w:b/>
              </w:rPr>
            </w:pPr>
            <w:r w:rsidRPr="00352252">
              <w:rPr>
                <w:b/>
              </w:rPr>
              <w:t>5.7574</w:t>
            </w:r>
          </w:p>
        </w:tc>
        <w:tc>
          <w:tcPr>
            <w:tcW w:w="1800" w:type="dxa"/>
            <w:vAlign w:val="center"/>
          </w:tcPr>
          <w:p w14:paraId="65EEC283" w14:textId="77777777" w:rsidR="00820D97" w:rsidRPr="00352252" w:rsidRDefault="00352252" w:rsidP="00820D97">
            <w:pPr>
              <w:jc w:val="center"/>
              <w:rPr>
                <w:b/>
              </w:rPr>
            </w:pPr>
            <w:r w:rsidRPr="00352252">
              <w:rPr>
                <w:b/>
              </w:rPr>
              <w:t>.049</w:t>
            </w:r>
          </w:p>
        </w:tc>
        <w:tc>
          <w:tcPr>
            <w:tcW w:w="1710" w:type="dxa"/>
            <w:vAlign w:val="center"/>
          </w:tcPr>
          <w:p w14:paraId="13A90E3C" w14:textId="77777777" w:rsidR="00820D97" w:rsidRPr="0022567A" w:rsidRDefault="00352252" w:rsidP="00820D97">
            <w:pPr>
              <w:jc w:val="center"/>
              <w:rPr>
                <w:b/>
              </w:rPr>
            </w:pPr>
            <w:r>
              <w:rPr>
                <w:b/>
              </w:rPr>
              <w:t>-</w:t>
            </w:r>
          </w:p>
        </w:tc>
        <w:tc>
          <w:tcPr>
            <w:tcW w:w="1710" w:type="dxa"/>
            <w:vAlign w:val="center"/>
          </w:tcPr>
          <w:p w14:paraId="5793C3D3" w14:textId="77777777" w:rsidR="00820D97" w:rsidRPr="00EE27A1" w:rsidRDefault="00352252" w:rsidP="00820D97">
            <w:pPr>
              <w:jc w:val="center"/>
            </w:pPr>
            <w:r>
              <w:t>-</w:t>
            </w:r>
          </w:p>
        </w:tc>
        <w:tc>
          <w:tcPr>
            <w:tcW w:w="1646" w:type="dxa"/>
            <w:vAlign w:val="center"/>
          </w:tcPr>
          <w:p w14:paraId="5ACC600D" w14:textId="77777777" w:rsidR="00820D97" w:rsidRPr="00EE27A1" w:rsidRDefault="00352252" w:rsidP="00820D97">
            <w:pPr>
              <w:jc w:val="center"/>
            </w:pPr>
            <w:r>
              <w:t>-</w:t>
            </w:r>
          </w:p>
        </w:tc>
      </w:tr>
      <w:tr w:rsidR="00820D97" w14:paraId="7C26E2C9" w14:textId="77777777" w:rsidTr="00297163">
        <w:tc>
          <w:tcPr>
            <w:tcW w:w="2988" w:type="dxa"/>
            <w:vAlign w:val="center"/>
          </w:tcPr>
          <w:p w14:paraId="6EBA66A3" w14:textId="77777777" w:rsidR="00820D97" w:rsidRDefault="00820D97" w:rsidP="00820D97">
            <w:r>
              <w:t>Percent Hispanic</w:t>
            </w:r>
          </w:p>
        </w:tc>
        <w:tc>
          <w:tcPr>
            <w:tcW w:w="1890" w:type="dxa"/>
            <w:vAlign w:val="center"/>
          </w:tcPr>
          <w:p w14:paraId="00007607" w14:textId="77777777" w:rsidR="00820D97" w:rsidRPr="00EE27A1" w:rsidRDefault="00352252" w:rsidP="00820D97">
            <w:pPr>
              <w:jc w:val="center"/>
            </w:pPr>
            <w:r>
              <w:t>-</w:t>
            </w:r>
          </w:p>
        </w:tc>
        <w:tc>
          <w:tcPr>
            <w:tcW w:w="1710" w:type="dxa"/>
            <w:vAlign w:val="center"/>
          </w:tcPr>
          <w:p w14:paraId="2CBC92EE" w14:textId="77777777" w:rsidR="00820D97" w:rsidRPr="00EE27A1" w:rsidRDefault="00352252" w:rsidP="00820D97">
            <w:pPr>
              <w:jc w:val="center"/>
            </w:pPr>
            <w:r>
              <w:t>-</w:t>
            </w:r>
          </w:p>
        </w:tc>
        <w:tc>
          <w:tcPr>
            <w:tcW w:w="1800" w:type="dxa"/>
            <w:vAlign w:val="center"/>
          </w:tcPr>
          <w:p w14:paraId="595D8AA1" w14:textId="77777777" w:rsidR="00820D97" w:rsidRPr="00EE27A1" w:rsidRDefault="00352252" w:rsidP="00820D97">
            <w:pPr>
              <w:jc w:val="center"/>
            </w:pPr>
            <w:r>
              <w:t>-</w:t>
            </w:r>
          </w:p>
        </w:tc>
        <w:tc>
          <w:tcPr>
            <w:tcW w:w="1710" w:type="dxa"/>
            <w:vAlign w:val="center"/>
          </w:tcPr>
          <w:p w14:paraId="749C25C4" w14:textId="77777777" w:rsidR="00820D97" w:rsidRPr="00352252" w:rsidRDefault="00352252" w:rsidP="00820D97">
            <w:pPr>
              <w:jc w:val="center"/>
              <w:rPr>
                <w:b/>
              </w:rPr>
            </w:pPr>
            <w:r w:rsidRPr="00352252">
              <w:rPr>
                <w:b/>
              </w:rPr>
              <w:t>9.1905</w:t>
            </w:r>
          </w:p>
        </w:tc>
        <w:tc>
          <w:tcPr>
            <w:tcW w:w="1710" w:type="dxa"/>
            <w:vAlign w:val="center"/>
          </w:tcPr>
          <w:p w14:paraId="2561C3E5" w14:textId="77777777" w:rsidR="00820D97" w:rsidRPr="00352252" w:rsidRDefault="00352252" w:rsidP="00820D97">
            <w:pPr>
              <w:jc w:val="center"/>
              <w:rPr>
                <w:b/>
              </w:rPr>
            </w:pPr>
            <w:r w:rsidRPr="00352252">
              <w:rPr>
                <w:b/>
              </w:rPr>
              <w:t>4.1498</w:t>
            </w:r>
          </w:p>
        </w:tc>
        <w:tc>
          <w:tcPr>
            <w:tcW w:w="1646" w:type="dxa"/>
            <w:vAlign w:val="center"/>
          </w:tcPr>
          <w:p w14:paraId="32A4ED0D" w14:textId="77777777" w:rsidR="00820D97" w:rsidRPr="00352252" w:rsidRDefault="00352252" w:rsidP="00820D97">
            <w:pPr>
              <w:jc w:val="center"/>
              <w:rPr>
                <w:b/>
              </w:rPr>
            </w:pPr>
            <w:r w:rsidRPr="00352252">
              <w:rPr>
                <w:b/>
              </w:rPr>
              <w:t>.027</w:t>
            </w:r>
          </w:p>
        </w:tc>
      </w:tr>
      <w:tr w:rsidR="00820D97" w14:paraId="51563045" w14:textId="77777777" w:rsidTr="00297163">
        <w:tc>
          <w:tcPr>
            <w:tcW w:w="2988" w:type="dxa"/>
            <w:vAlign w:val="center"/>
          </w:tcPr>
          <w:p w14:paraId="7AD73BC4" w14:textId="77777777" w:rsidR="00820D97" w:rsidRDefault="00820D97" w:rsidP="00820D97">
            <w:r>
              <w:t>Constant</w:t>
            </w:r>
          </w:p>
        </w:tc>
        <w:tc>
          <w:tcPr>
            <w:tcW w:w="1890" w:type="dxa"/>
            <w:vAlign w:val="center"/>
          </w:tcPr>
          <w:p w14:paraId="2E1CCD0F" w14:textId="77777777" w:rsidR="00820D97" w:rsidRPr="00352252" w:rsidRDefault="00352252" w:rsidP="00820D97">
            <w:pPr>
              <w:jc w:val="center"/>
              <w:rPr>
                <w:b/>
              </w:rPr>
            </w:pPr>
            <w:r w:rsidRPr="00352252">
              <w:rPr>
                <w:b/>
              </w:rPr>
              <w:t>2.2879</w:t>
            </w:r>
          </w:p>
        </w:tc>
        <w:tc>
          <w:tcPr>
            <w:tcW w:w="1710" w:type="dxa"/>
            <w:vAlign w:val="center"/>
          </w:tcPr>
          <w:p w14:paraId="21F37FDC" w14:textId="77777777" w:rsidR="00820D97" w:rsidRPr="00352252" w:rsidRDefault="00352252" w:rsidP="00820D97">
            <w:pPr>
              <w:jc w:val="center"/>
              <w:rPr>
                <w:b/>
              </w:rPr>
            </w:pPr>
            <w:r w:rsidRPr="00352252">
              <w:rPr>
                <w:b/>
              </w:rPr>
              <w:t>.8151</w:t>
            </w:r>
          </w:p>
        </w:tc>
        <w:tc>
          <w:tcPr>
            <w:tcW w:w="1800" w:type="dxa"/>
            <w:vAlign w:val="center"/>
          </w:tcPr>
          <w:p w14:paraId="157CD25F" w14:textId="77777777" w:rsidR="00820D97" w:rsidRPr="00352252" w:rsidRDefault="00352252" w:rsidP="00820D97">
            <w:pPr>
              <w:jc w:val="center"/>
              <w:rPr>
                <w:b/>
              </w:rPr>
            </w:pPr>
            <w:r w:rsidRPr="00352252">
              <w:rPr>
                <w:b/>
              </w:rPr>
              <w:t>.005</w:t>
            </w:r>
          </w:p>
        </w:tc>
        <w:tc>
          <w:tcPr>
            <w:tcW w:w="1710" w:type="dxa"/>
            <w:vAlign w:val="center"/>
          </w:tcPr>
          <w:p w14:paraId="709F49DF" w14:textId="77777777" w:rsidR="00820D97" w:rsidRPr="00352252" w:rsidRDefault="00352252" w:rsidP="00820D97">
            <w:pPr>
              <w:jc w:val="center"/>
              <w:rPr>
                <w:b/>
              </w:rPr>
            </w:pPr>
            <w:r w:rsidRPr="00352252">
              <w:rPr>
                <w:b/>
              </w:rPr>
              <w:t>2.5806</w:t>
            </w:r>
          </w:p>
        </w:tc>
        <w:tc>
          <w:tcPr>
            <w:tcW w:w="1710" w:type="dxa"/>
            <w:vAlign w:val="center"/>
          </w:tcPr>
          <w:p w14:paraId="29E1D52B" w14:textId="77777777" w:rsidR="00820D97" w:rsidRPr="00352252" w:rsidRDefault="00352252" w:rsidP="00820D97">
            <w:pPr>
              <w:jc w:val="center"/>
              <w:rPr>
                <w:b/>
              </w:rPr>
            </w:pPr>
            <w:r w:rsidRPr="00352252">
              <w:rPr>
                <w:b/>
              </w:rPr>
              <w:t>.8224</w:t>
            </w:r>
          </w:p>
        </w:tc>
        <w:tc>
          <w:tcPr>
            <w:tcW w:w="1646" w:type="dxa"/>
            <w:vAlign w:val="center"/>
          </w:tcPr>
          <w:p w14:paraId="57BB8E7D" w14:textId="77777777" w:rsidR="00820D97" w:rsidRPr="00352252" w:rsidRDefault="00352252" w:rsidP="00820D97">
            <w:pPr>
              <w:jc w:val="center"/>
              <w:rPr>
                <w:b/>
              </w:rPr>
            </w:pPr>
            <w:r w:rsidRPr="00352252">
              <w:rPr>
                <w:b/>
              </w:rPr>
              <w:t>.002</w:t>
            </w:r>
          </w:p>
        </w:tc>
      </w:tr>
    </w:tbl>
    <w:p w14:paraId="72869F41" w14:textId="77777777" w:rsidR="00820D97" w:rsidRDefault="00820D97" w:rsidP="00820D97">
      <w:pPr>
        <w:spacing w:after="0"/>
        <w:rPr>
          <w:b/>
        </w:rPr>
      </w:pPr>
    </w:p>
    <w:p w14:paraId="319878CD" w14:textId="77777777" w:rsidR="00820D97" w:rsidRDefault="007F59BF" w:rsidP="00820D97">
      <w:pPr>
        <w:spacing w:after="0"/>
      </w:pPr>
      <w:r>
        <w:rPr>
          <w:b/>
        </w:rPr>
        <w:t>III.2</w:t>
      </w:r>
      <w:r w:rsidR="00820D97">
        <w:rPr>
          <w:b/>
        </w:rPr>
        <w:t xml:space="preserve">b. </w:t>
      </w:r>
      <w:r w:rsidR="00820D97" w:rsidRPr="00E52C9F">
        <w:rPr>
          <w:b/>
        </w:rPr>
        <w:t xml:space="preserve">Dependent variable: </w:t>
      </w:r>
      <w:r w:rsidR="00820D97">
        <w:rPr>
          <w:b/>
        </w:rPr>
        <w:t>Small World Index</w:t>
      </w:r>
    </w:p>
    <w:tbl>
      <w:tblPr>
        <w:tblStyle w:val="TableGrid"/>
        <w:tblW w:w="13428" w:type="dxa"/>
        <w:tblLook w:val="04A0" w:firstRow="1" w:lastRow="0" w:firstColumn="1" w:lastColumn="0" w:noHBand="0" w:noVBand="1"/>
      </w:tblPr>
      <w:tblGrid>
        <w:gridCol w:w="2988"/>
        <w:gridCol w:w="1890"/>
        <w:gridCol w:w="1710"/>
        <w:gridCol w:w="1800"/>
        <w:gridCol w:w="1710"/>
        <w:gridCol w:w="1710"/>
        <w:gridCol w:w="1620"/>
      </w:tblGrid>
      <w:tr w:rsidR="00820D97" w14:paraId="3B19EADE" w14:textId="77777777" w:rsidTr="00297163">
        <w:tc>
          <w:tcPr>
            <w:tcW w:w="2988" w:type="dxa"/>
            <w:vAlign w:val="center"/>
          </w:tcPr>
          <w:p w14:paraId="415F1170" w14:textId="77777777" w:rsidR="00820D97" w:rsidRPr="00E52C9F" w:rsidRDefault="00820D97" w:rsidP="00820D97">
            <w:pPr>
              <w:jc w:val="center"/>
              <w:rPr>
                <w:b/>
              </w:rPr>
            </w:pPr>
            <w:r w:rsidRPr="00E52C9F">
              <w:rPr>
                <w:b/>
              </w:rPr>
              <w:t>Ind. variables</w:t>
            </w:r>
          </w:p>
        </w:tc>
        <w:tc>
          <w:tcPr>
            <w:tcW w:w="1890" w:type="dxa"/>
            <w:vAlign w:val="center"/>
          </w:tcPr>
          <w:p w14:paraId="772CBBAB" w14:textId="77777777" w:rsidR="00820D97" w:rsidRPr="00E52C9F" w:rsidRDefault="00820D97" w:rsidP="00820D97">
            <w:pPr>
              <w:jc w:val="center"/>
              <w:rPr>
                <w:b/>
              </w:rPr>
            </w:pPr>
            <w:r w:rsidRPr="00E52C9F">
              <w:rPr>
                <w:b/>
              </w:rPr>
              <w:t>Coefficient</w:t>
            </w:r>
          </w:p>
        </w:tc>
        <w:tc>
          <w:tcPr>
            <w:tcW w:w="1710" w:type="dxa"/>
            <w:vAlign w:val="center"/>
          </w:tcPr>
          <w:p w14:paraId="0A2881FD" w14:textId="77777777" w:rsidR="00820D97" w:rsidRPr="00E52C9F" w:rsidRDefault="00820D97" w:rsidP="00820D97">
            <w:pPr>
              <w:jc w:val="center"/>
              <w:rPr>
                <w:b/>
              </w:rPr>
            </w:pPr>
            <w:r>
              <w:rPr>
                <w:b/>
              </w:rPr>
              <w:t>Std. error</w:t>
            </w:r>
          </w:p>
        </w:tc>
        <w:tc>
          <w:tcPr>
            <w:tcW w:w="1800" w:type="dxa"/>
            <w:vAlign w:val="center"/>
          </w:tcPr>
          <w:p w14:paraId="4F0F8BEB" w14:textId="77777777" w:rsidR="00820D97" w:rsidRPr="00E52C9F" w:rsidRDefault="00820D97" w:rsidP="00820D97">
            <w:pPr>
              <w:jc w:val="center"/>
              <w:rPr>
                <w:b/>
              </w:rPr>
            </w:pPr>
            <w:r>
              <w:rPr>
                <w:b/>
              </w:rPr>
              <w:t>P-value</w:t>
            </w:r>
          </w:p>
        </w:tc>
        <w:tc>
          <w:tcPr>
            <w:tcW w:w="1710" w:type="dxa"/>
            <w:vAlign w:val="center"/>
          </w:tcPr>
          <w:p w14:paraId="22779B60" w14:textId="77777777" w:rsidR="00820D97" w:rsidRPr="00E52C9F" w:rsidRDefault="00820D97" w:rsidP="00820D97">
            <w:pPr>
              <w:jc w:val="center"/>
              <w:rPr>
                <w:b/>
              </w:rPr>
            </w:pPr>
            <w:r w:rsidRPr="00E52C9F">
              <w:rPr>
                <w:b/>
              </w:rPr>
              <w:t>Coefficient</w:t>
            </w:r>
          </w:p>
        </w:tc>
        <w:tc>
          <w:tcPr>
            <w:tcW w:w="1710" w:type="dxa"/>
            <w:vAlign w:val="center"/>
          </w:tcPr>
          <w:p w14:paraId="61908605" w14:textId="77777777" w:rsidR="00820D97" w:rsidRPr="00E52C9F" w:rsidRDefault="00820D97" w:rsidP="00820D97">
            <w:pPr>
              <w:jc w:val="center"/>
              <w:rPr>
                <w:b/>
              </w:rPr>
            </w:pPr>
            <w:r>
              <w:rPr>
                <w:b/>
              </w:rPr>
              <w:t>Std. error</w:t>
            </w:r>
          </w:p>
        </w:tc>
        <w:tc>
          <w:tcPr>
            <w:tcW w:w="1620" w:type="dxa"/>
            <w:vAlign w:val="center"/>
          </w:tcPr>
          <w:p w14:paraId="007246FC" w14:textId="77777777" w:rsidR="00820D97" w:rsidRPr="00E52C9F" w:rsidRDefault="00820D97" w:rsidP="00820D97">
            <w:pPr>
              <w:jc w:val="center"/>
              <w:rPr>
                <w:b/>
              </w:rPr>
            </w:pPr>
            <w:r>
              <w:rPr>
                <w:b/>
              </w:rPr>
              <w:t>P-value</w:t>
            </w:r>
          </w:p>
        </w:tc>
      </w:tr>
      <w:tr w:rsidR="00352252" w14:paraId="2A896436" w14:textId="77777777" w:rsidTr="00297163">
        <w:tc>
          <w:tcPr>
            <w:tcW w:w="2988" w:type="dxa"/>
            <w:vAlign w:val="center"/>
          </w:tcPr>
          <w:p w14:paraId="6C541EC3" w14:textId="77777777" w:rsidR="00352252" w:rsidRDefault="00352252" w:rsidP="00A9335A">
            <w:r>
              <w:t>Number of waivered prescribers</w:t>
            </w:r>
            <w:r w:rsidR="00297163">
              <w:t xml:space="preserve"> per 10,000 pop.</w:t>
            </w:r>
          </w:p>
        </w:tc>
        <w:tc>
          <w:tcPr>
            <w:tcW w:w="1890" w:type="dxa"/>
            <w:vAlign w:val="center"/>
          </w:tcPr>
          <w:p w14:paraId="722D1B85" w14:textId="77777777" w:rsidR="00352252" w:rsidRDefault="00352252" w:rsidP="00820D97">
            <w:pPr>
              <w:jc w:val="center"/>
            </w:pPr>
            <w:r>
              <w:t>.0344</w:t>
            </w:r>
          </w:p>
        </w:tc>
        <w:tc>
          <w:tcPr>
            <w:tcW w:w="1710" w:type="dxa"/>
            <w:vAlign w:val="center"/>
          </w:tcPr>
          <w:p w14:paraId="4785A0BF" w14:textId="77777777" w:rsidR="00352252" w:rsidRDefault="00352252" w:rsidP="00820D97">
            <w:pPr>
              <w:jc w:val="center"/>
            </w:pPr>
            <w:r>
              <w:t>.0781</w:t>
            </w:r>
          </w:p>
        </w:tc>
        <w:tc>
          <w:tcPr>
            <w:tcW w:w="1800" w:type="dxa"/>
            <w:vAlign w:val="center"/>
          </w:tcPr>
          <w:p w14:paraId="6C749AB9" w14:textId="77777777" w:rsidR="00352252" w:rsidRDefault="00352252" w:rsidP="00820D97">
            <w:pPr>
              <w:jc w:val="center"/>
            </w:pPr>
            <w:r>
              <w:t>.660</w:t>
            </w:r>
          </w:p>
        </w:tc>
        <w:tc>
          <w:tcPr>
            <w:tcW w:w="1710" w:type="dxa"/>
            <w:vAlign w:val="center"/>
          </w:tcPr>
          <w:p w14:paraId="50609528" w14:textId="77777777" w:rsidR="00352252" w:rsidRDefault="00352252" w:rsidP="004A10EA">
            <w:pPr>
              <w:jc w:val="center"/>
            </w:pPr>
            <w:r>
              <w:t>.0140</w:t>
            </w:r>
          </w:p>
        </w:tc>
        <w:tc>
          <w:tcPr>
            <w:tcW w:w="1710" w:type="dxa"/>
            <w:vAlign w:val="center"/>
          </w:tcPr>
          <w:p w14:paraId="2446F361" w14:textId="77777777" w:rsidR="00352252" w:rsidRDefault="00352252" w:rsidP="004A10EA">
            <w:pPr>
              <w:jc w:val="center"/>
            </w:pPr>
            <w:r>
              <w:t>.0744</w:t>
            </w:r>
          </w:p>
        </w:tc>
        <w:tc>
          <w:tcPr>
            <w:tcW w:w="1620" w:type="dxa"/>
            <w:vAlign w:val="center"/>
          </w:tcPr>
          <w:p w14:paraId="50F38D87" w14:textId="77777777" w:rsidR="00352252" w:rsidRDefault="00352252" w:rsidP="004A10EA">
            <w:pPr>
              <w:jc w:val="center"/>
            </w:pPr>
            <w:r>
              <w:t>.851</w:t>
            </w:r>
          </w:p>
        </w:tc>
      </w:tr>
      <w:tr w:rsidR="00352252" w14:paraId="24D80996" w14:textId="77777777" w:rsidTr="00297163">
        <w:tc>
          <w:tcPr>
            <w:tcW w:w="2988" w:type="dxa"/>
            <w:vAlign w:val="center"/>
          </w:tcPr>
          <w:p w14:paraId="73D6423B" w14:textId="77777777" w:rsidR="00352252" w:rsidRDefault="00352252" w:rsidP="00820D97">
            <w:r>
              <w:t>OD death rate, lagged 1 year</w:t>
            </w:r>
          </w:p>
        </w:tc>
        <w:tc>
          <w:tcPr>
            <w:tcW w:w="1890" w:type="dxa"/>
            <w:vAlign w:val="center"/>
          </w:tcPr>
          <w:p w14:paraId="7DB7D0BC" w14:textId="77777777" w:rsidR="00352252" w:rsidRPr="00EE27A1" w:rsidRDefault="00352252" w:rsidP="00820D97">
            <w:pPr>
              <w:jc w:val="center"/>
            </w:pPr>
            <w:r>
              <w:t>-.0063</w:t>
            </w:r>
          </w:p>
        </w:tc>
        <w:tc>
          <w:tcPr>
            <w:tcW w:w="1710" w:type="dxa"/>
            <w:vAlign w:val="center"/>
          </w:tcPr>
          <w:p w14:paraId="0FCFAD84" w14:textId="77777777" w:rsidR="00352252" w:rsidRPr="00EE27A1" w:rsidRDefault="00352252" w:rsidP="00820D97">
            <w:pPr>
              <w:jc w:val="center"/>
            </w:pPr>
            <w:r>
              <w:t>.0135</w:t>
            </w:r>
          </w:p>
        </w:tc>
        <w:tc>
          <w:tcPr>
            <w:tcW w:w="1800" w:type="dxa"/>
            <w:vAlign w:val="center"/>
          </w:tcPr>
          <w:p w14:paraId="2D40661D" w14:textId="77777777" w:rsidR="00352252" w:rsidRPr="00EE27A1" w:rsidRDefault="00352252" w:rsidP="00820D97">
            <w:pPr>
              <w:jc w:val="center"/>
            </w:pPr>
            <w:r>
              <w:t>.644</w:t>
            </w:r>
          </w:p>
        </w:tc>
        <w:tc>
          <w:tcPr>
            <w:tcW w:w="1710" w:type="dxa"/>
            <w:vAlign w:val="center"/>
          </w:tcPr>
          <w:p w14:paraId="1A9A331D" w14:textId="77777777" w:rsidR="00352252" w:rsidRPr="00EE27A1" w:rsidRDefault="00352252" w:rsidP="004A10EA">
            <w:pPr>
              <w:jc w:val="center"/>
            </w:pPr>
            <w:r>
              <w:t>-.0121</w:t>
            </w:r>
          </w:p>
        </w:tc>
        <w:tc>
          <w:tcPr>
            <w:tcW w:w="1710" w:type="dxa"/>
            <w:vAlign w:val="center"/>
          </w:tcPr>
          <w:p w14:paraId="28A7AB70" w14:textId="77777777" w:rsidR="00352252" w:rsidRPr="00EE27A1" w:rsidRDefault="00352252" w:rsidP="004A10EA">
            <w:pPr>
              <w:jc w:val="center"/>
            </w:pPr>
            <w:r>
              <w:t>.0137</w:t>
            </w:r>
          </w:p>
        </w:tc>
        <w:tc>
          <w:tcPr>
            <w:tcW w:w="1620" w:type="dxa"/>
            <w:vAlign w:val="center"/>
          </w:tcPr>
          <w:p w14:paraId="4368C19A" w14:textId="77777777" w:rsidR="00352252" w:rsidRPr="00EE27A1" w:rsidRDefault="00352252" w:rsidP="004A10EA">
            <w:pPr>
              <w:jc w:val="center"/>
            </w:pPr>
            <w:r>
              <w:t>.377</w:t>
            </w:r>
          </w:p>
        </w:tc>
      </w:tr>
      <w:tr w:rsidR="00352252" w14:paraId="7767D803" w14:textId="77777777" w:rsidTr="00297163">
        <w:tc>
          <w:tcPr>
            <w:tcW w:w="2988" w:type="dxa"/>
            <w:vAlign w:val="center"/>
          </w:tcPr>
          <w:p w14:paraId="0EF494C4" w14:textId="77777777" w:rsidR="00352252" w:rsidRDefault="00352252" w:rsidP="00820D97">
            <w:r>
              <w:t>Methadone clinics per 100,000 pop.</w:t>
            </w:r>
          </w:p>
        </w:tc>
        <w:tc>
          <w:tcPr>
            <w:tcW w:w="1890" w:type="dxa"/>
            <w:vAlign w:val="center"/>
          </w:tcPr>
          <w:p w14:paraId="57FBCB70" w14:textId="77777777" w:rsidR="00352252" w:rsidRDefault="00352252" w:rsidP="00820D97">
            <w:pPr>
              <w:jc w:val="center"/>
            </w:pPr>
            <w:r>
              <w:t>-.2790</w:t>
            </w:r>
          </w:p>
        </w:tc>
        <w:tc>
          <w:tcPr>
            <w:tcW w:w="1710" w:type="dxa"/>
            <w:vAlign w:val="center"/>
          </w:tcPr>
          <w:p w14:paraId="71B87647" w14:textId="77777777" w:rsidR="00352252" w:rsidRDefault="00352252" w:rsidP="00820D97">
            <w:pPr>
              <w:jc w:val="center"/>
            </w:pPr>
            <w:r>
              <w:t>.4830</w:t>
            </w:r>
          </w:p>
        </w:tc>
        <w:tc>
          <w:tcPr>
            <w:tcW w:w="1800" w:type="dxa"/>
            <w:vAlign w:val="center"/>
          </w:tcPr>
          <w:p w14:paraId="4C9E85E4" w14:textId="77777777" w:rsidR="00352252" w:rsidRDefault="00352252" w:rsidP="00820D97">
            <w:pPr>
              <w:jc w:val="center"/>
            </w:pPr>
            <w:r>
              <w:t>.564</w:t>
            </w:r>
          </w:p>
        </w:tc>
        <w:tc>
          <w:tcPr>
            <w:tcW w:w="1710" w:type="dxa"/>
            <w:vAlign w:val="center"/>
          </w:tcPr>
          <w:p w14:paraId="78835EA8" w14:textId="77777777" w:rsidR="00352252" w:rsidRDefault="00352252" w:rsidP="004A10EA">
            <w:pPr>
              <w:jc w:val="center"/>
            </w:pPr>
            <w:r>
              <w:t>-.3807</w:t>
            </w:r>
          </w:p>
        </w:tc>
        <w:tc>
          <w:tcPr>
            <w:tcW w:w="1710" w:type="dxa"/>
            <w:vAlign w:val="center"/>
          </w:tcPr>
          <w:p w14:paraId="62D34346" w14:textId="77777777" w:rsidR="00352252" w:rsidRDefault="00352252" w:rsidP="004A10EA">
            <w:pPr>
              <w:jc w:val="center"/>
            </w:pPr>
            <w:r>
              <w:t>.4844</w:t>
            </w:r>
          </w:p>
        </w:tc>
        <w:tc>
          <w:tcPr>
            <w:tcW w:w="1620" w:type="dxa"/>
            <w:vAlign w:val="center"/>
          </w:tcPr>
          <w:p w14:paraId="5DC8B22A" w14:textId="77777777" w:rsidR="00352252" w:rsidRDefault="00352252" w:rsidP="004A10EA">
            <w:pPr>
              <w:jc w:val="center"/>
            </w:pPr>
            <w:r>
              <w:t>.432</w:t>
            </w:r>
          </w:p>
        </w:tc>
      </w:tr>
      <w:tr w:rsidR="00352252" w14:paraId="72088D30" w14:textId="77777777" w:rsidTr="00297163">
        <w:tc>
          <w:tcPr>
            <w:tcW w:w="2988" w:type="dxa"/>
            <w:vAlign w:val="center"/>
          </w:tcPr>
          <w:p w14:paraId="65D6D45D" w14:textId="77777777" w:rsidR="00352252" w:rsidRDefault="00352252" w:rsidP="00820D97">
            <w:r>
              <w:t>Median household income</w:t>
            </w:r>
          </w:p>
        </w:tc>
        <w:tc>
          <w:tcPr>
            <w:tcW w:w="1890" w:type="dxa"/>
            <w:vAlign w:val="center"/>
          </w:tcPr>
          <w:p w14:paraId="7D9DD590" w14:textId="77777777" w:rsidR="00352252" w:rsidRPr="00546B85" w:rsidRDefault="00352252" w:rsidP="00820D97">
            <w:pPr>
              <w:jc w:val="center"/>
            </w:pPr>
            <w:r>
              <w:t>1.21e-06</w:t>
            </w:r>
          </w:p>
        </w:tc>
        <w:tc>
          <w:tcPr>
            <w:tcW w:w="1710" w:type="dxa"/>
            <w:vAlign w:val="center"/>
          </w:tcPr>
          <w:p w14:paraId="2B16F717" w14:textId="77777777" w:rsidR="00352252" w:rsidRPr="00546B85" w:rsidRDefault="00352252" w:rsidP="00820D97">
            <w:pPr>
              <w:jc w:val="center"/>
            </w:pPr>
            <w:r>
              <w:t>1.83e-05</w:t>
            </w:r>
          </w:p>
        </w:tc>
        <w:tc>
          <w:tcPr>
            <w:tcW w:w="1800" w:type="dxa"/>
            <w:vAlign w:val="center"/>
          </w:tcPr>
          <w:p w14:paraId="2B11F7E9" w14:textId="77777777" w:rsidR="00352252" w:rsidRPr="00546B85" w:rsidRDefault="00352252" w:rsidP="00820D97">
            <w:pPr>
              <w:jc w:val="center"/>
            </w:pPr>
            <w:r>
              <w:t>.947</w:t>
            </w:r>
          </w:p>
        </w:tc>
        <w:tc>
          <w:tcPr>
            <w:tcW w:w="1710" w:type="dxa"/>
            <w:vAlign w:val="center"/>
          </w:tcPr>
          <w:p w14:paraId="6B607537" w14:textId="77777777" w:rsidR="00352252" w:rsidRPr="00546B85" w:rsidRDefault="00352252" w:rsidP="004A10EA">
            <w:pPr>
              <w:jc w:val="center"/>
            </w:pPr>
            <w:r>
              <w:t>1.03e-05</w:t>
            </w:r>
          </w:p>
        </w:tc>
        <w:tc>
          <w:tcPr>
            <w:tcW w:w="1710" w:type="dxa"/>
            <w:vAlign w:val="center"/>
          </w:tcPr>
          <w:p w14:paraId="6E7DBB6F" w14:textId="77777777" w:rsidR="00352252" w:rsidRPr="00546B85" w:rsidRDefault="00352252" w:rsidP="004A10EA">
            <w:pPr>
              <w:jc w:val="center"/>
            </w:pPr>
            <w:r>
              <w:t>1.79e-05</w:t>
            </w:r>
          </w:p>
        </w:tc>
        <w:tc>
          <w:tcPr>
            <w:tcW w:w="1620" w:type="dxa"/>
            <w:vAlign w:val="center"/>
          </w:tcPr>
          <w:p w14:paraId="688C8649" w14:textId="77777777" w:rsidR="00352252" w:rsidRPr="00546B85" w:rsidRDefault="00352252" w:rsidP="004A10EA">
            <w:pPr>
              <w:jc w:val="center"/>
            </w:pPr>
            <w:r>
              <w:t>.564</w:t>
            </w:r>
          </w:p>
        </w:tc>
      </w:tr>
      <w:tr w:rsidR="00820D97" w14:paraId="490E30B0" w14:textId="77777777" w:rsidTr="00297163">
        <w:tc>
          <w:tcPr>
            <w:tcW w:w="2988" w:type="dxa"/>
            <w:vAlign w:val="center"/>
          </w:tcPr>
          <w:p w14:paraId="4D1D4F24" w14:textId="77777777" w:rsidR="00820D97" w:rsidRDefault="00820D97" w:rsidP="00820D97">
            <w:r>
              <w:t>Percent black</w:t>
            </w:r>
          </w:p>
        </w:tc>
        <w:tc>
          <w:tcPr>
            <w:tcW w:w="1890" w:type="dxa"/>
            <w:vAlign w:val="center"/>
          </w:tcPr>
          <w:p w14:paraId="7871F6B6" w14:textId="77777777" w:rsidR="00820D97" w:rsidRPr="00352252" w:rsidRDefault="00352252" w:rsidP="00820D97">
            <w:pPr>
              <w:jc w:val="center"/>
              <w:rPr>
                <w:b/>
              </w:rPr>
            </w:pPr>
            <w:r w:rsidRPr="00352252">
              <w:rPr>
                <w:b/>
              </w:rPr>
              <w:t>10.1682</w:t>
            </w:r>
          </w:p>
        </w:tc>
        <w:tc>
          <w:tcPr>
            <w:tcW w:w="1710" w:type="dxa"/>
            <w:vAlign w:val="center"/>
          </w:tcPr>
          <w:p w14:paraId="47128DC4" w14:textId="77777777" w:rsidR="00820D97" w:rsidRPr="00352252" w:rsidRDefault="00352252" w:rsidP="00820D97">
            <w:pPr>
              <w:jc w:val="center"/>
              <w:rPr>
                <w:b/>
              </w:rPr>
            </w:pPr>
            <w:r w:rsidRPr="00352252">
              <w:rPr>
                <w:b/>
              </w:rPr>
              <w:t>5.0110</w:t>
            </w:r>
          </w:p>
        </w:tc>
        <w:tc>
          <w:tcPr>
            <w:tcW w:w="1800" w:type="dxa"/>
            <w:vAlign w:val="center"/>
          </w:tcPr>
          <w:p w14:paraId="2DD5768A" w14:textId="77777777" w:rsidR="00820D97" w:rsidRPr="00352252" w:rsidRDefault="00352252" w:rsidP="00820D97">
            <w:pPr>
              <w:jc w:val="center"/>
              <w:rPr>
                <w:b/>
              </w:rPr>
            </w:pPr>
            <w:r w:rsidRPr="00352252">
              <w:rPr>
                <w:b/>
              </w:rPr>
              <w:t>.042</w:t>
            </w:r>
          </w:p>
        </w:tc>
        <w:tc>
          <w:tcPr>
            <w:tcW w:w="1710" w:type="dxa"/>
            <w:vAlign w:val="center"/>
          </w:tcPr>
          <w:p w14:paraId="713159E8" w14:textId="77777777" w:rsidR="00820D97" w:rsidRPr="0022567A" w:rsidRDefault="00352252" w:rsidP="00820D97">
            <w:pPr>
              <w:jc w:val="center"/>
              <w:rPr>
                <w:b/>
              </w:rPr>
            </w:pPr>
            <w:r>
              <w:rPr>
                <w:b/>
              </w:rPr>
              <w:t>-</w:t>
            </w:r>
          </w:p>
        </w:tc>
        <w:tc>
          <w:tcPr>
            <w:tcW w:w="1710" w:type="dxa"/>
            <w:vAlign w:val="center"/>
          </w:tcPr>
          <w:p w14:paraId="0D5307F4" w14:textId="77777777" w:rsidR="00820D97" w:rsidRPr="00EE27A1" w:rsidRDefault="00352252" w:rsidP="00820D97">
            <w:pPr>
              <w:jc w:val="center"/>
            </w:pPr>
            <w:r>
              <w:t>-</w:t>
            </w:r>
          </w:p>
        </w:tc>
        <w:tc>
          <w:tcPr>
            <w:tcW w:w="1620" w:type="dxa"/>
            <w:vAlign w:val="center"/>
          </w:tcPr>
          <w:p w14:paraId="4564DA0E" w14:textId="77777777" w:rsidR="00820D97" w:rsidRPr="00EE27A1" w:rsidRDefault="00352252" w:rsidP="00820D97">
            <w:pPr>
              <w:jc w:val="center"/>
            </w:pPr>
            <w:r>
              <w:t>-</w:t>
            </w:r>
          </w:p>
        </w:tc>
      </w:tr>
      <w:tr w:rsidR="00820D97" w14:paraId="5016BB1A" w14:textId="77777777" w:rsidTr="00297163">
        <w:tc>
          <w:tcPr>
            <w:tcW w:w="2988" w:type="dxa"/>
            <w:vAlign w:val="center"/>
          </w:tcPr>
          <w:p w14:paraId="406EB577" w14:textId="77777777" w:rsidR="00820D97" w:rsidRDefault="00820D97" w:rsidP="00820D97">
            <w:r>
              <w:t>Percent Hispanic</w:t>
            </w:r>
          </w:p>
        </w:tc>
        <w:tc>
          <w:tcPr>
            <w:tcW w:w="1890" w:type="dxa"/>
            <w:vAlign w:val="center"/>
          </w:tcPr>
          <w:p w14:paraId="723474CA" w14:textId="77777777" w:rsidR="00820D97" w:rsidRPr="00EE27A1" w:rsidRDefault="00352252" w:rsidP="00820D97">
            <w:pPr>
              <w:jc w:val="center"/>
            </w:pPr>
            <w:r>
              <w:t>-</w:t>
            </w:r>
          </w:p>
        </w:tc>
        <w:tc>
          <w:tcPr>
            <w:tcW w:w="1710" w:type="dxa"/>
            <w:vAlign w:val="center"/>
          </w:tcPr>
          <w:p w14:paraId="61714C10" w14:textId="77777777" w:rsidR="00820D97" w:rsidRPr="00EE27A1" w:rsidRDefault="00352252" w:rsidP="00820D97">
            <w:pPr>
              <w:jc w:val="center"/>
            </w:pPr>
            <w:r>
              <w:t>-</w:t>
            </w:r>
          </w:p>
        </w:tc>
        <w:tc>
          <w:tcPr>
            <w:tcW w:w="1800" w:type="dxa"/>
            <w:vAlign w:val="center"/>
          </w:tcPr>
          <w:p w14:paraId="527FE431" w14:textId="77777777" w:rsidR="00820D97" w:rsidRPr="00EE27A1" w:rsidRDefault="00352252" w:rsidP="00820D97">
            <w:pPr>
              <w:jc w:val="center"/>
            </w:pPr>
            <w:r>
              <w:t>-</w:t>
            </w:r>
          </w:p>
        </w:tc>
        <w:tc>
          <w:tcPr>
            <w:tcW w:w="1710" w:type="dxa"/>
            <w:vAlign w:val="center"/>
          </w:tcPr>
          <w:p w14:paraId="0F62189A" w14:textId="77777777" w:rsidR="00820D97" w:rsidRPr="00352252" w:rsidRDefault="00352252" w:rsidP="00820D97">
            <w:pPr>
              <w:jc w:val="center"/>
              <w:rPr>
                <w:b/>
              </w:rPr>
            </w:pPr>
            <w:r w:rsidRPr="00352252">
              <w:rPr>
                <w:b/>
              </w:rPr>
              <w:t>7.8646</w:t>
            </w:r>
          </w:p>
        </w:tc>
        <w:tc>
          <w:tcPr>
            <w:tcW w:w="1710" w:type="dxa"/>
            <w:vAlign w:val="center"/>
          </w:tcPr>
          <w:p w14:paraId="41567588" w14:textId="77777777" w:rsidR="00820D97" w:rsidRPr="00352252" w:rsidRDefault="00352252" w:rsidP="00820D97">
            <w:pPr>
              <w:jc w:val="center"/>
              <w:rPr>
                <w:b/>
              </w:rPr>
            </w:pPr>
            <w:r w:rsidRPr="00352252">
              <w:rPr>
                <w:b/>
              </w:rPr>
              <w:t>3.2988</w:t>
            </w:r>
          </w:p>
        </w:tc>
        <w:tc>
          <w:tcPr>
            <w:tcW w:w="1620" w:type="dxa"/>
            <w:vAlign w:val="center"/>
          </w:tcPr>
          <w:p w14:paraId="2CE7B4FB" w14:textId="77777777" w:rsidR="00820D97" w:rsidRPr="00352252" w:rsidRDefault="00352252" w:rsidP="00820D97">
            <w:pPr>
              <w:jc w:val="center"/>
              <w:rPr>
                <w:b/>
              </w:rPr>
            </w:pPr>
            <w:r w:rsidRPr="00352252">
              <w:rPr>
                <w:b/>
              </w:rPr>
              <w:t>.017</w:t>
            </w:r>
          </w:p>
        </w:tc>
      </w:tr>
      <w:tr w:rsidR="00820D97" w14:paraId="69B72D52" w14:textId="77777777" w:rsidTr="00297163">
        <w:tc>
          <w:tcPr>
            <w:tcW w:w="2988" w:type="dxa"/>
            <w:vAlign w:val="center"/>
          </w:tcPr>
          <w:p w14:paraId="1314BDF3" w14:textId="77777777" w:rsidR="00820D97" w:rsidRDefault="00820D97" w:rsidP="00820D97">
            <w:r>
              <w:t>Constant</w:t>
            </w:r>
          </w:p>
        </w:tc>
        <w:tc>
          <w:tcPr>
            <w:tcW w:w="1890" w:type="dxa"/>
            <w:vAlign w:val="center"/>
          </w:tcPr>
          <w:p w14:paraId="1DC7BD2A" w14:textId="77777777" w:rsidR="00820D97" w:rsidRPr="00EE27A1" w:rsidRDefault="00352252" w:rsidP="00820D97">
            <w:pPr>
              <w:jc w:val="center"/>
            </w:pPr>
            <w:r>
              <w:t>2.1006</w:t>
            </w:r>
          </w:p>
        </w:tc>
        <w:tc>
          <w:tcPr>
            <w:tcW w:w="1710" w:type="dxa"/>
            <w:vAlign w:val="center"/>
          </w:tcPr>
          <w:p w14:paraId="12B0BC58" w14:textId="77777777" w:rsidR="00820D97" w:rsidRPr="00EE27A1" w:rsidRDefault="00352252" w:rsidP="00820D97">
            <w:pPr>
              <w:jc w:val="center"/>
            </w:pPr>
            <w:r>
              <w:t>1.1982</w:t>
            </w:r>
          </w:p>
        </w:tc>
        <w:tc>
          <w:tcPr>
            <w:tcW w:w="1800" w:type="dxa"/>
            <w:vAlign w:val="center"/>
          </w:tcPr>
          <w:p w14:paraId="21362568" w14:textId="77777777" w:rsidR="00820D97" w:rsidRPr="00EE27A1" w:rsidRDefault="00352252" w:rsidP="00820D97">
            <w:pPr>
              <w:jc w:val="center"/>
            </w:pPr>
            <w:r>
              <w:t>.080</w:t>
            </w:r>
          </w:p>
        </w:tc>
        <w:tc>
          <w:tcPr>
            <w:tcW w:w="1710" w:type="dxa"/>
            <w:vAlign w:val="center"/>
          </w:tcPr>
          <w:p w14:paraId="3545CB6B" w14:textId="77777777" w:rsidR="00820D97" w:rsidRPr="00EE27A1" w:rsidRDefault="00352252" w:rsidP="00820D97">
            <w:pPr>
              <w:jc w:val="center"/>
            </w:pPr>
            <w:r>
              <w:t>1.4119</w:t>
            </w:r>
          </w:p>
        </w:tc>
        <w:tc>
          <w:tcPr>
            <w:tcW w:w="1710" w:type="dxa"/>
            <w:vAlign w:val="center"/>
          </w:tcPr>
          <w:p w14:paraId="51998A08" w14:textId="77777777" w:rsidR="00820D97" w:rsidRPr="00EE27A1" w:rsidRDefault="00352252" w:rsidP="00820D97">
            <w:pPr>
              <w:jc w:val="center"/>
            </w:pPr>
            <w:r>
              <w:t>1.2275</w:t>
            </w:r>
          </w:p>
        </w:tc>
        <w:tc>
          <w:tcPr>
            <w:tcW w:w="1620" w:type="dxa"/>
            <w:vAlign w:val="center"/>
          </w:tcPr>
          <w:p w14:paraId="0A513DA9" w14:textId="77777777" w:rsidR="00820D97" w:rsidRPr="00EE27A1" w:rsidRDefault="00352252" w:rsidP="00820D97">
            <w:pPr>
              <w:jc w:val="center"/>
            </w:pPr>
            <w:r>
              <w:t>.250</w:t>
            </w:r>
          </w:p>
        </w:tc>
      </w:tr>
    </w:tbl>
    <w:p w14:paraId="33529415" w14:textId="77777777" w:rsidR="00820D97" w:rsidRDefault="00820D97" w:rsidP="00820D97">
      <w:pPr>
        <w:spacing w:before="200" w:after="0"/>
      </w:pPr>
      <w:r>
        <w:t xml:space="preserve">Note: Tobit regression controlling for clustering of values by county and year. N = </w:t>
      </w:r>
      <w:r w:rsidR="00352252">
        <w:t>79</w:t>
      </w:r>
      <w:r>
        <w:t xml:space="preserve">. </w:t>
      </w:r>
      <w:r w:rsidR="00A9335A">
        <w:t xml:space="preserve">Parameters significant at the .05 level are in </w:t>
      </w:r>
      <w:r w:rsidR="00A9335A" w:rsidRPr="00761EB9">
        <w:rPr>
          <w:b/>
        </w:rPr>
        <w:t>bold</w:t>
      </w:r>
      <w:r w:rsidR="00A9335A">
        <w:t>.</w:t>
      </w:r>
    </w:p>
    <w:p w14:paraId="0207B5AF" w14:textId="77777777" w:rsidR="00820D97" w:rsidRDefault="00820D97">
      <w:r>
        <w:br w:type="page"/>
      </w:r>
    </w:p>
    <w:p w14:paraId="7CD1BC0F" w14:textId="77777777" w:rsidR="00820D97" w:rsidRDefault="00820D97" w:rsidP="00820D97">
      <w:pPr>
        <w:rPr>
          <w:b/>
        </w:rPr>
      </w:pPr>
      <w:r>
        <w:rPr>
          <w:b/>
        </w:rPr>
        <w:lastRenderedPageBreak/>
        <w:t xml:space="preserve">Table </w:t>
      </w:r>
      <w:r w:rsidR="007F59BF">
        <w:rPr>
          <w:b/>
        </w:rPr>
        <w:t>III.3</w:t>
      </w:r>
      <w:r>
        <w:rPr>
          <w:b/>
        </w:rPr>
        <w:t>: Racial/Ethnic Disparities in Network Centrality by Massachusetts County, 2011 - 201</w:t>
      </w:r>
      <w:r w:rsidR="00352252">
        <w:rPr>
          <w:b/>
        </w:rPr>
        <w:t>8</w:t>
      </w:r>
    </w:p>
    <w:p w14:paraId="15288237" w14:textId="77777777" w:rsidR="00820D97" w:rsidRDefault="007F59BF" w:rsidP="00820D97">
      <w:pPr>
        <w:spacing w:after="0"/>
      </w:pPr>
      <w:r>
        <w:rPr>
          <w:b/>
        </w:rPr>
        <w:t>III.3</w:t>
      </w:r>
      <w:r w:rsidR="00820D97">
        <w:rPr>
          <w:b/>
        </w:rPr>
        <w:t xml:space="preserve">a. </w:t>
      </w:r>
      <w:r w:rsidR="00820D97" w:rsidRPr="00E52C9F">
        <w:rPr>
          <w:b/>
        </w:rPr>
        <w:t xml:space="preserve">Dependent variable: </w:t>
      </w:r>
      <w:r w:rsidR="00820D97">
        <w:rPr>
          <w:b/>
        </w:rPr>
        <w:t>Network Centrality</w:t>
      </w:r>
    </w:p>
    <w:tbl>
      <w:tblPr>
        <w:tblStyle w:val="TableGrid"/>
        <w:tblW w:w="13454" w:type="dxa"/>
        <w:tblLook w:val="04A0" w:firstRow="1" w:lastRow="0" w:firstColumn="1" w:lastColumn="0" w:noHBand="0" w:noVBand="1"/>
      </w:tblPr>
      <w:tblGrid>
        <w:gridCol w:w="4158"/>
        <w:gridCol w:w="1710"/>
        <w:gridCol w:w="1620"/>
        <w:gridCol w:w="1440"/>
        <w:gridCol w:w="1620"/>
        <w:gridCol w:w="1440"/>
        <w:gridCol w:w="1466"/>
      </w:tblGrid>
      <w:tr w:rsidR="00820D97" w14:paraId="3E81C551" w14:textId="77777777" w:rsidTr="00F12DA1">
        <w:tc>
          <w:tcPr>
            <w:tcW w:w="4158" w:type="dxa"/>
            <w:vAlign w:val="center"/>
          </w:tcPr>
          <w:p w14:paraId="4E183EA3" w14:textId="77777777" w:rsidR="00820D97" w:rsidRPr="00E52C9F" w:rsidRDefault="00820D97" w:rsidP="00820D97">
            <w:pPr>
              <w:jc w:val="center"/>
              <w:rPr>
                <w:b/>
              </w:rPr>
            </w:pPr>
            <w:r w:rsidRPr="00E52C9F">
              <w:rPr>
                <w:b/>
              </w:rPr>
              <w:t>Ind. variables</w:t>
            </w:r>
          </w:p>
        </w:tc>
        <w:tc>
          <w:tcPr>
            <w:tcW w:w="1710" w:type="dxa"/>
            <w:vAlign w:val="center"/>
          </w:tcPr>
          <w:p w14:paraId="1327D812" w14:textId="77777777" w:rsidR="00820D97" w:rsidRPr="00E52C9F" w:rsidRDefault="00820D97" w:rsidP="00820D97">
            <w:pPr>
              <w:jc w:val="center"/>
              <w:rPr>
                <w:b/>
              </w:rPr>
            </w:pPr>
            <w:r w:rsidRPr="00E52C9F">
              <w:rPr>
                <w:b/>
              </w:rPr>
              <w:t>Coefficient</w:t>
            </w:r>
          </w:p>
        </w:tc>
        <w:tc>
          <w:tcPr>
            <w:tcW w:w="1620" w:type="dxa"/>
            <w:vAlign w:val="center"/>
          </w:tcPr>
          <w:p w14:paraId="7A98F0BE" w14:textId="77777777" w:rsidR="00820D97" w:rsidRPr="00E52C9F" w:rsidRDefault="00820D97" w:rsidP="00820D97">
            <w:pPr>
              <w:jc w:val="center"/>
              <w:rPr>
                <w:b/>
              </w:rPr>
            </w:pPr>
            <w:r>
              <w:rPr>
                <w:b/>
              </w:rPr>
              <w:t>Std. error</w:t>
            </w:r>
          </w:p>
        </w:tc>
        <w:tc>
          <w:tcPr>
            <w:tcW w:w="1440" w:type="dxa"/>
            <w:vAlign w:val="center"/>
          </w:tcPr>
          <w:p w14:paraId="5858B0CB" w14:textId="77777777" w:rsidR="00820D97" w:rsidRPr="00E52C9F" w:rsidRDefault="00820D97" w:rsidP="00820D97">
            <w:pPr>
              <w:jc w:val="center"/>
              <w:rPr>
                <w:b/>
              </w:rPr>
            </w:pPr>
            <w:r>
              <w:rPr>
                <w:b/>
              </w:rPr>
              <w:t>P-value</w:t>
            </w:r>
          </w:p>
        </w:tc>
        <w:tc>
          <w:tcPr>
            <w:tcW w:w="1620" w:type="dxa"/>
            <w:vAlign w:val="center"/>
          </w:tcPr>
          <w:p w14:paraId="5D833AAE" w14:textId="77777777" w:rsidR="00820D97" w:rsidRPr="00E52C9F" w:rsidRDefault="00820D97" w:rsidP="00820D97">
            <w:pPr>
              <w:jc w:val="center"/>
              <w:rPr>
                <w:b/>
              </w:rPr>
            </w:pPr>
            <w:r w:rsidRPr="00E52C9F">
              <w:rPr>
                <w:b/>
              </w:rPr>
              <w:t>Coefficient</w:t>
            </w:r>
          </w:p>
        </w:tc>
        <w:tc>
          <w:tcPr>
            <w:tcW w:w="1440" w:type="dxa"/>
            <w:vAlign w:val="center"/>
          </w:tcPr>
          <w:p w14:paraId="0E6F0460" w14:textId="77777777" w:rsidR="00820D97" w:rsidRPr="00E52C9F" w:rsidRDefault="00820D97" w:rsidP="00820D97">
            <w:pPr>
              <w:jc w:val="center"/>
              <w:rPr>
                <w:b/>
              </w:rPr>
            </w:pPr>
            <w:r>
              <w:rPr>
                <w:b/>
              </w:rPr>
              <w:t>Std. error</w:t>
            </w:r>
          </w:p>
        </w:tc>
        <w:tc>
          <w:tcPr>
            <w:tcW w:w="1466" w:type="dxa"/>
            <w:vAlign w:val="center"/>
          </w:tcPr>
          <w:p w14:paraId="54077E36" w14:textId="77777777" w:rsidR="00820D97" w:rsidRPr="00E52C9F" w:rsidRDefault="00820D97" w:rsidP="00820D97">
            <w:pPr>
              <w:jc w:val="center"/>
              <w:rPr>
                <w:b/>
              </w:rPr>
            </w:pPr>
            <w:r>
              <w:rPr>
                <w:b/>
              </w:rPr>
              <w:t>P-value</w:t>
            </w:r>
          </w:p>
        </w:tc>
      </w:tr>
      <w:tr w:rsidR="00820D97" w14:paraId="3E38ED9B" w14:textId="77777777" w:rsidTr="00F12DA1">
        <w:tc>
          <w:tcPr>
            <w:tcW w:w="4158" w:type="dxa"/>
            <w:vAlign w:val="center"/>
          </w:tcPr>
          <w:p w14:paraId="137B9D41" w14:textId="77777777" w:rsidR="00820D97" w:rsidRDefault="00F12DA1" w:rsidP="00820D97">
            <w:r>
              <w:t>Number of waivered prescribers per 10,000 pop.</w:t>
            </w:r>
          </w:p>
        </w:tc>
        <w:tc>
          <w:tcPr>
            <w:tcW w:w="1710" w:type="dxa"/>
            <w:vAlign w:val="center"/>
          </w:tcPr>
          <w:p w14:paraId="084C7E83" w14:textId="77777777" w:rsidR="00820D97" w:rsidRDefault="00DC0696" w:rsidP="00820D97">
            <w:pPr>
              <w:jc w:val="center"/>
            </w:pPr>
            <w:r>
              <w:t>.0169</w:t>
            </w:r>
          </w:p>
        </w:tc>
        <w:tc>
          <w:tcPr>
            <w:tcW w:w="1620" w:type="dxa"/>
            <w:vAlign w:val="center"/>
          </w:tcPr>
          <w:p w14:paraId="799E2E65" w14:textId="77777777" w:rsidR="00820D97" w:rsidRDefault="00DC0696" w:rsidP="00820D97">
            <w:pPr>
              <w:jc w:val="center"/>
            </w:pPr>
            <w:r>
              <w:t>.0093</w:t>
            </w:r>
          </w:p>
        </w:tc>
        <w:tc>
          <w:tcPr>
            <w:tcW w:w="1440" w:type="dxa"/>
            <w:vAlign w:val="center"/>
          </w:tcPr>
          <w:p w14:paraId="4466CB7B" w14:textId="77777777" w:rsidR="00820D97" w:rsidRDefault="00DC0696" w:rsidP="00820D97">
            <w:pPr>
              <w:jc w:val="center"/>
            </w:pPr>
            <w:r>
              <w:t>.070</w:t>
            </w:r>
          </w:p>
        </w:tc>
        <w:tc>
          <w:tcPr>
            <w:tcW w:w="1620" w:type="dxa"/>
            <w:vAlign w:val="center"/>
          </w:tcPr>
          <w:p w14:paraId="36991203" w14:textId="77777777" w:rsidR="00820D97" w:rsidRPr="00546B85" w:rsidRDefault="00DC0696" w:rsidP="00820D97">
            <w:pPr>
              <w:jc w:val="center"/>
            </w:pPr>
            <w:r>
              <w:t>-.0076</w:t>
            </w:r>
          </w:p>
        </w:tc>
        <w:tc>
          <w:tcPr>
            <w:tcW w:w="1440" w:type="dxa"/>
            <w:vAlign w:val="center"/>
          </w:tcPr>
          <w:p w14:paraId="2954DF3F" w14:textId="77777777" w:rsidR="00820D97" w:rsidRPr="00EE27A1" w:rsidRDefault="00DC0696" w:rsidP="00820D97">
            <w:pPr>
              <w:jc w:val="center"/>
            </w:pPr>
            <w:r>
              <w:t>.0111</w:t>
            </w:r>
          </w:p>
        </w:tc>
        <w:tc>
          <w:tcPr>
            <w:tcW w:w="1466" w:type="dxa"/>
            <w:vAlign w:val="center"/>
          </w:tcPr>
          <w:p w14:paraId="38054BC7" w14:textId="77777777" w:rsidR="00820D97" w:rsidRPr="00EE27A1" w:rsidRDefault="00DC0696" w:rsidP="00820D97">
            <w:pPr>
              <w:jc w:val="center"/>
            </w:pPr>
            <w:r>
              <w:t>.490</w:t>
            </w:r>
          </w:p>
        </w:tc>
      </w:tr>
      <w:tr w:rsidR="00820D97" w14:paraId="1706F423" w14:textId="77777777" w:rsidTr="00F12DA1">
        <w:tc>
          <w:tcPr>
            <w:tcW w:w="4158" w:type="dxa"/>
            <w:vAlign w:val="center"/>
          </w:tcPr>
          <w:p w14:paraId="290024C2" w14:textId="77777777" w:rsidR="00820D97" w:rsidRDefault="00820D97" w:rsidP="00820D97">
            <w:r>
              <w:t>OD death rate, lagged 1 year</w:t>
            </w:r>
          </w:p>
        </w:tc>
        <w:tc>
          <w:tcPr>
            <w:tcW w:w="1710" w:type="dxa"/>
            <w:vAlign w:val="center"/>
          </w:tcPr>
          <w:p w14:paraId="058EEAF7" w14:textId="77777777" w:rsidR="00820D97" w:rsidRPr="00EE27A1" w:rsidRDefault="00DC0696" w:rsidP="00820D97">
            <w:pPr>
              <w:jc w:val="center"/>
            </w:pPr>
            <w:r>
              <w:t>-.0018</w:t>
            </w:r>
          </w:p>
        </w:tc>
        <w:tc>
          <w:tcPr>
            <w:tcW w:w="1620" w:type="dxa"/>
            <w:vAlign w:val="center"/>
          </w:tcPr>
          <w:p w14:paraId="56D8B9F4" w14:textId="77777777" w:rsidR="00820D97" w:rsidRPr="00EE27A1" w:rsidRDefault="00DC0696" w:rsidP="00820D97">
            <w:pPr>
              <w:jc w:val="center"/>
            </w:pPr>
            <w:r>
              <w:t>.0019</w:t>
            </w:r>
          </w:p>
        </w:tc>
        <w:tc>
          <w:tcPr>
            <w:tcW w:w="1440" w:type="dxa"/>
            <w:vAlign w:val="center"/>
          </w:tcPr>
          <w:p w14:paraId="5362B6A2" w14:textId="77777777" w:rsidR="00820D97" w:rsidRPr="00EE27A1" w:rsidRDefault="00DC0696" w:rsidP="00820D97">
            <w:pPr>
              <w:jc w:val="center"/>
            </w:pPr>
            <w:r>
              <w:t>.336</w:t>
            </w:r>
          </w:p>
        </w:tc>
        <w:tc>
          <w:tcPr>
            <w:tcW w:w="1620" w:type="dxa"/>
            <w:vAlign w:val="center"/>
          </w:tcPr>
          <w:p w14:paraId="0D053B66" w14:textId="77777777" w:rsidR="00820D97" w:rsidRPr="00EE27A1" w:rsidRDefault="00DC0696" w:rsidP="00820D97">
            <w:pPr>
              <w:jc w:val="center"/>
            </w:pPr>
            <w:r>
              <w:t>.0020</w:t>
            </w:r>
          </w:p>
        </w:tc>
        <w:tc>
          <w:tcPr>
            <w:tcW w:w="1440" w:type="dxa"/>
            <w:vAlign w:val="center"/>
          </w:tcPr>
          <w:p w14:paraId="1CC463AA" w14:textId="77777777" w:rsidR="00820D97" w:rsidRPr="00EE27A1" w:rsidRDefault="00DC0696" w:rsidP="00820D97">
            <w:pPr>
              <w:jc w:val="center"/>
            </w:pPr>
            <w:r>
              <w:t>.0018</w:t>
            </w:r>
          </w:p>
        </w:tc>
        <w:tc>
          <w:tcPr>
            <w:tcW w:w="1466" w:type="dxa"/>
            <w:vAlign w:val="center"/>
          </w:tcPr>
          <w:p w14:paraId="35303FA9" w14:textId="77777777" w:rsidR="00820D97" w:rsidRPr="00EE27A1" w:rsidRDefault="00DC0696" w:rsidP="00820D97">
            <w:pPr>
              <w:jc w:val="center"/>
            </w:pPr>
            <w:r>
              <w:t>.264</w:t>
            </w:r>
          </w:p>
        </w:tc>
      </w:tr>
      <w:tr w:rsidR="00820D97" w14:paraId="0E16B36F" w14:textId="77777777" w:rsidTr="00F12DA1">
        <w:tc>
          <w:tcPr>
            <w:tcW w:w="4158" w:type="dxa"/>
            <w:vAlign w:val="center"/>
          </w:tcPr>
          <w:p w14:paraId="00D0AFF8" w14:textId="77777777" w:rsidR="00820D97" w:rsidRDefault="00820D97" w:rsidP="00820D97">
            <w:r>
              <w:t>Methadone clinics per 100,000 pop.</w:t>
            </w:r>
          </w:p>
        </w:tc>
        <w:tc>
          <w:tcPr>
            <w:tcW w:w="1710" w:type="dxa"/>
            <w:vAlign w:val="center"/>
          </w:tcPr>
          <w:p w14:paraId="60FB7AFC" w14:textId="77777777" w:rsidR="00820D97" w:rsidRDefault="00DC0696" w:rsidP="00820D97">
            <w:pPr>
              <w:jc w:val="center"/>
            </w:pPr>
            <w:r>
              <w:t>.0167</w:t>
            </w:r>
          </w:p>
        </w:tc>
        <w:tc>
          <w:tcPr>
            <w:tcW w:w="1620" w:type="dxa"/>
            <w:vAlign w:val="center"/>
          </w:tcPr>
          <w:p w14:paraId="2AA9F0BD" w14:textId="77777777" w:rsidR="00820D97" w:rsidRDefault="00DC0696" w:rsidP="00820D97">
            <w:pPr>
              <w:jc w:val="center"/>
            </w:pPr>
            <w:r>
              <w:t>.0567</w:t>
            </w:r>
          </w:p>
        </w:tc>
        <w:tc>
          <w:tcPr>
            <w:tcW w:w="1440" w:type="dxa"/>
            <w:vAlign w:val="center"/>
          </w:tcPr>
          <w:p w14:paraId="548543C6" w14:textId="77777777" w:rsidR="00820D97" w:rsidRDefault="00DC0696" w:rsidP="00820D97">
            <w:pPr>
              <w:jc w:val="center"/>
            </w:pPr>
            <w:r>
              <w:t>.768</w:t>
            </w:r>
          </w:p>
        </w:tc>
        <w:tc>
          <w:tcPr>
            <w:tcW w:w="1620" w:type="dxa"/>
            <w:vAlign w:val="center"/>
          </w:tcPr>
          <w:p w14:paraId="1785D6DA" w14:textId="77777777" w:rsidR="00820D97" w:rsidRDefault="00DC0696" w:rsidP="00820D97">
            <w:pPr>
              <w:jc w:val="center"/>
            </w:pPr>
            <w:r>
              <w:t>.0677</w:t>
            </w:r>
          </w:p>
        </w:tc>
        <w:tc>
          <w:tcPr>
            <w:tcW w:w="1440" w:type="dxa"/>
            <w:vAlign w:val="center"/>
          </w:tcPr>
          <w:p w14:paraId="04902D75" w14:textId="77777777" w:rsidR="00820D97" w:rsidRPr="00EE27A1" w:rsidRDefault="00DC0696" w:rsidP="00820D97">
            <w:pPr>
              <w:jc w:val="center"/>
            </w:pPr>
            <w:r>
              <w:t>.0525</w:t>
            </w:r>
          </w:p>
        </w:tc>
        <w:tc>
          <w:tcPr>
            <w:tcW w:w="1466" w:type="dxa"/>
            <w:vAlign w:val="center"/>
          </w:tcPr>
          <w:p w14:paraId="2A2CA730" w14:textId="77777777" w:rsidR="00820D97" w:rsidRPr="00EE27A1" w:rsidRDefault="00DC0696" w:rsidP="00820D97">
            <w:pPr>
              <w:jc w:val="center"/>
            </w:pPr>
            <w:r>
              <w:t>.197</w:t>
            </w:r>
          </w:p>
        </w:tc>
      </w:tr>
      <w:tr w:rsidR="00820D97" w14:paraId="515082F7" w14:textId="77777777" w:rsidTr="00F12DA1">
        <w:tc>
          <w:tcPr>
            <w:tcW w:w="4158" w:type="dxa"/>
            <w:vAlign w:val="center"/>
          </w:tcPr>
          <w:p w14:paraId="17EE5862" w14:textId="77777777" w:rsidR="00820D97" w:rsidRDefault="00820D97" w:rsidP="00820D97">
            <w:r>
              <w:t>Percent of population in poverty</w:t>
            </w:r>
          </w:p>
        </w:tc>
        <w:tc>
          <w:tcPr>
            <w:tcW w:w="1710" w:type="dxa"/>
            <w:vAlign w:val="center"/>
          </w:tcPr>
          <w:p w14:paraId="2DC15DC7" w14:textId="77777777" w:rsidR="00820D97" w:rsidRPr="00546B85" w:rsidRDefault="00DC0696" w:rsidP="00820D97">
            <w:pPr>
              <w:jc w:val="center"/>
            </w:pPr>
            <w:r>
              <w:t>.0059</w:t>
            </w:r>
          </w:p>
        </w:tc>
        <w:tc>
          <w:tcPr>
            <w:tcW w:w="1620" w:type="dxa"/>
            <w:vAlign w:val="center"/>
          </w:tcPr>
          <w:p w14:paraId="6E375B47" w14:textId="77777777" w:rsidR="00820D97" w:rsidRPr="00546B85" w:rsidRDefault="00DC0696" w:rsidP="00820D97">
            <w:pPr>
              <w:jc w:val="center"/>
            </w:pPr>
            <w:r>
              <w:t>.0058</w:t>
            </w:r>
          </w:p>
        </w:tc>
        <w:tc>
          <w:tcPr>
            <w:tcW w:w="1440" w:type="dxa"/>
            <w:vAlign w:val="center"/>
          </w:tcPr>
          <w:p w14:paraId="5CB5B7A4" w14:textId="77777777" w:rsidR="00820D97" w:rsidRPr="00546B85" w:rsidRDefault="00DC0696" w:rsidP="00820D97">
            <w:pPr>
              <w:jc w:val="center"/>
            </w:pPr>
            <w:r>
              <w:t>.307</w:t>
            </w:r>
          </w:p>
        </w:tc>
        <w:tc>
          <w:tcPr>
            <w:tcW w:w="1620" w:type="dxa"/>
            <w:vAlign w:val="center"/>
          </w:tcPr>
          <w:p w14:paraId="4252EA5E" w14:textId="77777777" w:rsidR="00820D97" w:rsidRPr="00546B85" w:rsidRDefault="00DC0696" w:rsidP="00820D97">
            <w:pPr>
              <w:jc w:val="center"/>
            </w:pPr>
            <w:r>
              <w:t>.0112</w:t>
            </w:r>
          </w:p>
        </w:tc>
        <w:tc>
          <w:tcPr>
            <w:tcW w:w="1440" w:type="dxa"/>
            <w:vAlign w:val="center"/>
          </w:tcPr>
          <w:p w14:paraId="01F5DF2F" w14:textId="77777777" w:rsidR="00820D97" w:rsidRPr="00EE27A1" w:rsidRDefault="00DC0696" w:rsidP="00820D97">
            <w:pPr>
              <w:jc w:val="center"/>
            </w:pPr>
            <w:r>
              <w:t>.0090</w:t>
            </w:r>
          </w:p>
        </w:tc>
        <w:tc>
          <w:tcPr>
            <w:tcW w:w="1466" w:type="dxa"/>
            <w:vAlign w:val="center"/>
          </w:tcPr>
          <w:p w14:paraId="507FC90B" w14:textId="77777777" w:rsidR="00820D97" w:rsidRPr="00EE27A1" w:rsidRDefault="00DC0696" w:rsidP="00820D97">
            <w:pPr>
              <w:jc w:val="center"/>
            </w:pPr>
            <w:r>
              <w:t>.216</w:t>
            </w:r>
          </w:p>
        </w:tc>
      </w:tr>
      <w:tr w:rsidR="00820D97" w14:paraId="3CE2CD75" w14:textId="77777777" w:rsidTr="00F12DA1">
        <w:tc>
          <w:tcPr>
            <w:tcW w:w="4158" w:type="dxa"/>
            <w:vAlign w:val="center"/>
          </w:tcPr>
          <w:p w14:paraId="18BD11A7" w14:textId="77777777" w:rsidR="00820D97" w:rsidRDefault="00820D97" w:rsidP="00820D97">
            <w:r>
              <w:t>Percent black</w:t>
            </w:r>
          </w:p>
        </w:tc>
        <w:tc>
          <w:tcPr>
            <w:tcW w:w="1710" w:type="dxa"/>
            <w:vAlign w:val="center"/>
          </w:tcPr>
          <w:p w14:paraId="285AF7EE" w14:textId="77777777" w:rsidR="00820D97" w:rsidRPr="00DC0696" w:rsidRDefault="00DC0696" w:rsidP="00820D97">
            <w:pPr>
              <w:jc w:val="center"/>
              <w:rPr>
                <w:b/>
              </w:rPr>
            </w:pPr>
            <w:r w:rsidRPr="00DC0696">
              <w:rPr>
                <w:b/>
              </w:rPr>
              <w:t>-1.4153</w:t>
            </w:r>
          </w:p>
        </w:tc>
        <w:tc>
          <w:tcPr>
            <w:tcW w:w="1620" w:type="dxa"/>
            <w:vAlign w:val="center"/>
          </w:tcPr>
          <w:p w14:paraId="44E62B25" w14:textId="77777777" w:rsidR="00820D97" w:rsidRPr="00DC0696" w:rsidRDefault="00DC0696" w:rsidP="00820D97">
            <w:pPr>
              <w:jc w:val="center"/>
              <w:rPr>
                <w:b/>
              </w:rPr>
            </w:pPr>
            <w:r w:rsidRPr="00DC0696">
              <w:rPr>
                <w:b/>
              </w:rPr>
              <w:t>.3654</w:t>
            </w:r>
          </w:p>
        </w:tc>
        <w:tc>
          <w:tcPr>
            <w:tcW w:w="1440" w:type="dxa"/>
            <w:vAlign w:val="center"/>
          </w:tcPr>
          <w:p w14:paraId="4D12016F" w14:textId="77777777" w:rsidR="00820D97" w:rsidRPr="00DC0696" w:rsidRDefault="00DC0696" w:rsidP="00820D97">
            <w:pPr>
              <w:jc w:val="center"/>
              <w:rPr>
                <w:b/>
              </w:rPr>
            </w:pPr>
            <w:r w:rsidRPr="00DC0696">
              <w:rPr>
                <w:b/>
              </w:rPr>
              <w:t>&lt; .001</w:t>
            </w:r>
          </w:p>
        </w:tc>
        <w:tc>
          <w:tcPr>
            <w:tcW w:w="1620" w:type="dxa"/>
            <w:vAlign w:val="center"/>
          </w:tcPr>
          <w:p w14:paraId="46CDD4BE" w14:textId="77777777" w:rsidR="00820D97" w:rsidRPr="0022567A" w:rsidRDefault="00DC0696" w:rsidP="00820D97">
            <w:pPr>
              <w:jc w:val="center"/>
              <w:rPr>
                <w:b/>
              </w:rPr>
            </w:pPr>
            <w:r>
              <w:rPr>
                <w:b/>
              </w:rPr>
              <w:t>-</w:t>
            </w:r>
          </w:p>
        </w:tc>
        <w:tc>
          <w:tcPr>
            <w:tcW w:w="1440" w:type="dxa"/>
            <w:vAlign w:val="center"/>
          </w:tcPr>
          <w:p w14:paraId="6167598F" w14:textId="77777777" w:rsidR="00820D97" w:rsidRPr="00EE27A1" w:rsidRDefault="00DC0696" w:rsidP="00820D97">
            <w:pPr>
              <w:jc w:val="center"/>
            </w:pPr>
            <w:r>
              <w:t>-</w:t>
            </w:r>
          </w:p>
        </w:tc>
        <w:tc>
          <w:tcPr>
            <w:tcW w:w="1466" w:type="dxa"/>
            <w:vAlign w:val="center"/>
          </w:tcPr>
          <w:p w14:paraId="54E3A94D" w14:textId="77777777" w:rsidR="00820D97" w:rsidRPr="00EE27A1" w:rsidRDefault="00DC0696" w:rsidP="00820D97">
            <w:pPr>
              <w:jc w:val="center"/>
            </w:pPr>
            <w:r>
              <w:t>-</w:t>
            </w:r>
          </w:p>
        </w:tc>
      </w:tr>
      <w:tr w:rsidR="00820D97" w14:paraId="78EA36B3" w14:textId="77777777" w:rsidTr="00F12DA1">
        <w:tc>
          <w:tcPr>
            <w:tcW w:w="4158" w:type="dxa"/>
            <w:vAlign w:val="center"/>
          </w:tcPr>
          <w:p w14:paraId="63F0DD37" w14:textId="77777777" w:rsidR="00820D97" w:rsidRDefault="00820D97" w:rsidP="00820D97">
            <w:r>
              <w:t>Percent Hispanic</w:t>
            </w:r>
          </w:p>
        </w:tc>
        <w:tc>
          <w:tcPr>
            <w:tcW w:w="1710" w:type="dxa"/>
            <w:vAlign w:val="center"/>
          </w:tcPr>
          <w:p w14:paraId="2A636D69" w14:textId="77777777" w:rsidR="00820D97" w:rsidRPr="00EE27A1" w:rsidRDefault="00DC0696" w:rsidP="00820D97">
            <w:pPr>
              <w:jc w:val="center"/>
            </w:pPr>
            <w:r>
              <w:t>-</w:t>
            </w:r>
          </w:p>
        </w:tc>
        <w:tc>
          <w:tcPr>
            <w:tcW w:w="1620" w:type="dxa"/>
            <w:vAlign w:val="center"/>
          </w:tcPr>
          <w:p w14:paraId="4369143C" w14:textId="77777777" w:rsidR="00820D97" w:rsidRPr="00EE27A1" w:rsidRDefault="00DC0696" w:rsidP="00820D97">
            <w:pPr>
              <w:jc w:val="center"/>
            </w:pPr>
            <w:r>
              <w:t>-</w:t>
            </w:r>
          </w:p>
        </w:tc>
        <w:tc>
          <w:tcPr>
            <w:tcW w:w="1440" w:type="dxa"/>
            <w:vAlign w:val="center"/>
          </w:tcPr>
          <w:p w14:paraId="313A1964" w14:textId="77777777" w:rsidR="00820D97" w:rsidRPr="00EE27A1" w:rsidRDefault="00DC0696" w:rsidP="00820D97">
            <w:pPr>
              <w:jc w:val="center"/>
            </w:pPr>
            <w:r>
              <w:t>-</w:t>
            </w:r>
          </w:p>
        </w:tc>
        <w:tc>
          <w:tcPr>
            <w:tcW w:w="1620" w:type="dxa"/>
            <w:vAlign w:val="center"/>
          </w:tcPr>
          <w:p w14:paraId="1CECD1C5" w14:textId="77777777" w:rsidR="00820D97" w:rsidRPr="00DC0696" w:rsidRDefault="00DC0696" w:rsidP="00820D97">
            <w:pPr>
              <w:jc w:val="center"/>
              <w:rPr>
                <w:b/>
              </w:rPr>
            </w:pPr>
            <w:r w:rsidRPr="00DC0696">
              <w:rPr>
                <w:b/>
              </w:rPr>
              <w:t>-1.1932</w:t>
            </w:r>
          </w:p>
        </w:tc>
        <w:tc>
          <w:tcPr>
            <w:tcW w:w="1440" w:type="dxa"/>
            <w:vAlign w:val="center"/>
          </w:tcPr>
          <w:p w14:paraId="44382E22" w14:textId="77777777" w:rsidR="00820D97" w:rsidRPr="00DC0696" w:rsidRDefault="00DC0696" w:rsidP="00820D97">
            <w:pPr>
              <w:jc w:val="center"/>
              <w:rPr>
                <w:b/>
              </w:rPr>
            </w:pPr>
            <w:r w:rsidRPr="00DC0696">
              <w:rPr>
                <w:b/>
              </w:rPr>
              <w:t>.5088</w:t>
            </w:r>
          </w:p>
        </w:tc>
        <w:tc>
          <w:tcPr>
            <w:tcW w:w="1466" w:type="dxa"/>
            <w:vAlign w:val="center"/>
          </w:tcPr>
          <w:p w14:paraId="3A4EB7B4" w14:textId="77777777" w:rsidR="00820D97" w:rsidRPr="00DC0696" w:rsidRDefault="00DC0696" w:rsidP="00820D97">
            <w:pPr>
              <w:jc w:val="center"/>
              <w:rPr>
                <w:b/>
              </w:rPr>
            </w:pPr>
            <w:r w:rsidRPr="00DC0696">
              <w:rPr>
                <w:b/>
              </w:rPr>
              <w:t>.019</w:t>
            </w:r>
          </w:p>
        </w:tc>
      </w:tr>
      <w:tr w:rsidR="00820D97" w14:paraId="24453337" w14:textId="77777777" w:rsidTr="00F12DA1">
        <w:tc>
          <w:tcPr>
            <w:tcW w:w="4158" w:type="dxa"/>
            <w:vAlign w:val="center"/>
          </w:tcPr>
          <w:p w14:paraId="4C4167B7" w14:textId="77777777" w:rsidR="00820D97" w:rsidRDefault="00820D97" w:rsidP="00820D97">
            <w:r>
              <w:t>Constant</w:t>
            </w:r>
          </w:p>
        </w:tc>
        <w:tc>
          <w:tcPr>
            <w:tcW w:w="1710" w:type="dxa"/>
            <w:vAlign w:val="center"/>
          </w:tcPr>
          <w:p w14:paraId="0434A689" w14:textId="77777777" w:rsidR="00820D97" w:rsidRPr="00DC0696" w:rsidRDefault="00DC0696" w:rsidP="00820D97">
            <w:pPr>
              <w:jc w:val="center"/>
              <w:rPr>
                <w:b/>
              </w:rPr>
            </w:pPr>
            <w:r w:rsidRPr="00DC0696">
              <w:rPr>
                <w:b/>
              </w:rPr>
              <w:t>.2205</w:t>
            </w:r>
          </w:p>
        </w:tc>
        <w:tc>
          <w:tcPr>
            <w:tcW w:w="1620" w:type="dxa"/>
            <w:vAlign w:val="center"/>
          </w:tcPr>
          <w:p w14:paraId="72E57B15" w14:textId="77777777" w:rsidR="00820D97" w:rsidRPr="00DC0696" w:rsidRDefault="00DC0696" w:rsidP="00820D97">
            <w:pPr>
              <w:jc w:val="center"/>
              <w:rPr>
                <w:b/>
              </w:rPr>
            </w:pPr>
            <w:r w:rsidRPr="00DC0696">
              <w:rPr>
                <w:b/>
              </w:rPr>
              <w:t>.0628</w:t>
            </w:r>
          </w:p>
        </w:tc>
        <w:tc>
          <w:tcPr>
            <w:tcW w:w="1440" w:type="dxa"/>
            <w:vAlign w:val="center"/>
          </w:tcPr>
          <w:p w14:paraId="68AFC000" w14:textId="77777777" w:rsidR="00820D97" w:rsidRPr="00DC0696" w:rsidRDefault="00DC0696" w:rsidP="00820D97">
            <w:pPr>
              <w:jc w:val="center"/>
              <w:rPr>
                <w:b/>
              </w:rPr>
            </w:pPr>
            <w:r w:rsidRPr="00DC0696">
              <w:rPr>
                <w:b/>
              </w:rPr>
              <w:t>&lt; .001</w:t>
            </w:r>
          </w:p>
        </w:tc>
        <w:tc>
          <w:tcPr>
            <w:tcW w:w="1620" w:type="dxa"/>
            <w:vAlign w:val="center"/>
          </w:tcPr>
          <w:p w14:paraId="3965A514" w14:textId="77777777" w:rsidR="00820D97" w:rsidRPr="00EE27A1" w:rsidRDefault="00DC0696" w:rsidP="00820D97">
            <w:pPr>
              <w:jc w:val="center"/>
            </w:pPr>
            <w:r>
              <w:t>.1633</w:t>
            </w:r>
          </w:p>
        </w:tc>
        <w:tc>
          <w:tcPr>
            <w:tcW w:w="1440" w:type="dxa"/>
            <w:vAlign w:val="center"/>
          </w:tcPr>
          <w:p w14:paraId="0B7ACB62" w14:textId="77777777" w:rsidR="00820D97" w:rsidRPr="00EE27A1" w:rsidRDefault="00DC0696" w:rsidP="00820D97">
            <w:pPr>
              <w:jc w:val="center"/>
            </w:pPr>
            <w:r>
              <w:t>.1014</w:t>
            </w:r>
          </w:p>
        </w:tc>
        <w:tc>
          <w:tcPr>
            <w:tcW w:w="1466" w:type="dxa"/>
            <w:vAlign w:val="center"/>
          </w:tcPr>
          <w:p w14:paraId="00D91D49" w14:textId="77777777" w:rsidR="00820D97" w:rsidRPr="00EE27A1" w:rsidRDefault="00DC0696" w:rsidP="00820D97">
            <w:pPr>
              <w:jc w:val="center"/>
            </w:pPr>
            <w:r>
              <w:t>.107</w:t>
            </w:r>
          </w:p>
        </w:tc>
      </w:tr>
    </w:tbl>
    <w:p w14:paraId="0DCA9994" w14:textId="77777777" w:rsidR="00820D97" w:rsidRDefault="00820D97" w:rsidP="00A9335A">
      <w:pPr>
        <w:spacing w:after="0"/>
        <w:ind w:firstLine="720"/>
        <w:rPr>
          <w:b/>
        </w:rPr>
      </w:pPr>
    </w:p>
    <w:p w14:paraId="30728484" w14:textId="77777777" w:rsidR="00820D97" w:rsidRDefault="007F59BF" w:rsidP="00820D97">
      <w:pPr>
        <w:spacing w:after="0"/>
      </w:pPr>
      <w:r>
        <w:rPr>
          <w:b/>
        </w:rPr>
        <w:t>III.3</w:t>
      </w:r>
      <w:r w:rsidR="00820D97">
        <w:rPr>
          <w:b/>
        </w:rPr>
        <w:t xml:space="preserve">b. </w:t>
      </w:r>
      <w:r w:rsidR="00820D97" w:rsidRPr="00E52C9F">
        <w:rPr>
          <w:b/>
        </w:rPr>
        <w:t xml:space="preserve">Dependent variable: </w:t>
      </w:r>
      <w:r w:rsidR="00820D97">
        <w:rPr>
          <w:b/>
        </w:rPr>
        <w:t>Network Centrality</w:t>
      </w:r>
    </w:p>
    <w:tbl>
      <w:tblPr>
        <w:tblStyle w:val="TableGrid"/>
        <w:tblW w:w="13428" w:type="dxa"/>
        <w:tblLook w:val="04A0" w:firstRow="1" w:lastRow="0" w:firstColumn="1" w:lastColumn="0" w:noHBand="0" w:noVBand="1"/>
      </w:tblPr>
      <w:tblGrid>
        <w:gridCol w:w="4158"/>
        <w:gridCol w:w="1710"/>
        <w:gridCol w:w="1620"/>
        <w:gridCol w:w="1440"/>
        <w:gridCol w:w="1620"/>
        <w:gridCol w:w="1440"/>
        <w:gridCol w:w="1440"/>
      </w:tblGrid>
      <w:tr w:rsidR="00820D97" w14:paraId="3BCADD97" w14:textId="77777777" w:rsidTr="00F12DA1">
        <w:tc>
          <w:tcPr>
            <w:tcW w:w="4158" w:type="dxa"/>
            <w:vAlign w:val="center"/>
          </w:tcPr>
          <w:p w14:paraId="3452918F" w14:textId="77777777" w:rsidR="00820D97" w:rsidRPr="00E52C9F" w:rsidRDefault="00820D97" w:rsidP="00820D97">
            <w:pPr>
              <w:jc w:val="center"/>
              <w:rPr>
                <w:b/>
              </w:rPr>
            </w:pPr>
            <w:r w:rsidRPr="00E52C9F">
              <w:rPr>
                <w:b/>
              </w:rPr>
              <w:t>Ind. variables</w:t>
            </w:r>
          </w:p>
        </w:tc>
        <w:tc>
          <w:tcPr>
            <w:tcW w:w="1710" w:type="dxa"/>
            <w:vAlign w:val="center"/>
          </w:tcPr>
          <w:p w14:paraId="5EA6F5B9" w14:textId="77777777" w:rsidR="00820D97" w:rsidRPr="00E52C9F" w:rsidRDefault="00820D97" w:rsidP="00820D97">
            <w:pPr>
              <w:jc w:val="center"/>
              <w:rPr>
                <w:b/>
              </w:rPr>
            </w:pPr>
            <w:r w:rsidRPr="00E52C9F">
              <w:rPr>
                <w:b/>
              </w:rPr>
              <w:t>Coefficient</w:t>
            </w:r>
          </w:p>
        </w:tc>
        <w:tc>
          <w:tcPr>
            <w:tcW w:w="1620" w:type="dxa"/>
            <w:vAlign w:val="center"/>
          </w:tcPr>
          <w:p w14:paraId="462DA970" w14:textId="77777777" w:rsidR="00820D97" w:rsidRPr="00E52C9F" w:rsidRDefault="00820D97" w:rsidP="00820D97">
            <w:pPr>
              <w:jc w:val="center"/>
              <w:rPr>
                <w:b/>
              </w:rPr>
            </w:pPr>
            <w:r>
              <w:rPr>
                <w:b/>
              </w:rPr>
              <w:t>Std. error</w:t>
            </w:r>
          </w:p>
        </w:tc>
        <w:tc>
          <w:tcPr>
            <w:tcW w:w="1440" w:type="dxa"/>
            <w:vAlign w:val="center"/>
          </w:tcPr>
          <w:p w14:paraId="60CA0D25" w14:textId="77777777" w:rsidR="00820D97" w:rsidRPr="00E52C9F" w:rsidRDefault="00820D97" w:rsidP="00820D97">
            <w:pPr>
              <w:jc w:val="center"/>
              <w:rPr>
                <w:b/>
              </w:rPr>
            </w:pPr>
            <w:r>
              <w:rPr>
                <w:b/>
              </w:rPr>
              <w:t>P-value</w:t>
            </w:r>
          </w:p>
        </w:tc>
        <w:tc>
          <w:tcPr>
            <w:tcW w:w="1620" w:type="dxa"/>
            <w:vAlign w:val="center"/>
          </w:tcPr>
          <w:p w14:paraId="42672E04" w14:textId="77777777" w:rsidR="00820D97" w:rsidRPr="00E52C9F" w:rsidRDefault="00820D97" w:rsidP="00820D97">
            <w:pPr>
              <w:jc w:val="center"/>
              <w:rPr>
                <w:b/>
              </w:rPr>
            </w:pPr>
            <w:r w:rsidRPr="00E52C9F">
              <w:rPr>
                <w:b/>
              </w:rPr>
              <w:t>Coefficient</w:t>
            </w:r>
          </w:p>
        </w:tc>
        <w:tc>
          <w:tcPr>
            <w:tcW w:w="1440" w:type="dxa"/>
            <w:vAlign w:val="center"/>
          </w:tcPr>
          <w:p w14:paraId="0B5D26AC" w14:textId="77777777" w:rsidR="00820D97" w:rsidRPr="00E52C9F" w:rsidRDefault="00820D97" w:rsidP="00820D97">
            <w:pPr>
              <w:jc w:val="center"/>
              <w:rPr>
                <w:b/>
              </w:rPr>
            </w:pPr>
            <w:r>
              <w:rPr>
                <w:b/>
              </w:rPr>
              <w:t>Std. error</w:t>
            </w:r>
          </w:p>
        </w:tc>
        <w:tc>
          <w:tcPr>
            <w:tcW w:w="1440" w:type="dxa"/>
            <w:vAlign w:val="center"/>
          </w:tcPr>
          <w:p w14:paraId="0FA15873" w14:textId="77777777" w:rsidR="00820D97" w:rsidRPr="00E52C9F" w:rsidRDefault="00820D97" w:rsidP="00820D97">
            <w:pPr>
              <w:jc w:val="center"/>
              <w:rPr>
                <w:b/>
              </w:rPr>
            </w:pPr>
            <w:r>
              <w:rPr>
                <w:b/>
              </w:rPr>
              <w:t>P-value</w:t>
            </w:r>
          </w:p>
        </w:tc>
      </w:tr>
      <w:tr w:rsidR="00820D97" w14:paraId="78021CAF" w14:textId="77777777" w:rsidTr="00F12DA1">
        <w:tc>
          <w:tcPr>
            <w:tcW w:w="4158" w:type="dxa"/>
            <w:vAlign w:val="center"/>
          </w:tcPr>
          <w:p w14:paraId="70A3AAF7" w14:textId="77777777" w:rsidR="00820D97" w:rsidRDefault="00F12DA1" w:rsidP="00820D97">
            <w:r>
              <w:t>Number of waivered prescribers per 10,000 pop.</w:t>
            </w:r>
          </w:p>
        </w:tc>
        <w:tc>
          <w:tcPr>
            <w:tcW w:w="1710" w:type="dxa"/>
            <w:vAlign w:val="center"/>
          </w:tcPr>
          <w:p w14:paraId="51E2C003" w14:textId="77777777" w:rsidR="00820D97" w:rsidRDefault="00DC0696" w:rsidP="00820D97">
            <w:pPr>
              <w:jc w:val="center"/>
            </w:pPr>
            <w:r>
              <w:t>.0175</w:t>
            </w:r>
          </w:p>
        </w:tc>
        <w:tc>
          <w:tcPr>
            <w:tcW w:w="1620" w:type="dxa"/>
            <w:vAlign w:val="center"/>
          </w:tcPr>
          <w:p w14:paraId="02ED1DB8" w14:textId="77777777" w:rsidR="00820D97" w:rsidRDefault="00DC0696" w:rsidP="00820D97">
            <w:pPr>
              <w:jc w:val="center"/>
            </w:pPr>
            <w:r>
              <w:t>.0092</w:t>
            </w:r>
          </w:p>
        </w:tc>
        <w:tc>
          <w:tcPr>
            <w:tcW w:w="1440" w:type="dxa"/>
            <w:vAlign w:val="center"/>
          </w:tcPr>
          <w:p w14:paraId="5D99BB2A" w14:textId="77777777" w:rsidR="00820D97" w:rsidRDefault="00DC0696" w:rsidP="00820D97">
            <w:pPr>
              <w:jc w:val="center"/>
            </w:pPr>
            <w:r>
              <w:t>.057</w:t>
            </w:r>
          </w:p>
        </w:tc>
        <w:tc>
          <w:tcPr>
            <w:tcW w:w="1620" w:type="dxa"/>
            <w:vAlign w:val="center"/>
          </w:tcPr>
          <w:p w14:paraId="6DAE1140" w14:textId="77777777" w:rsidR="00820D97" w:rsidRPr="00546B85" w:rsidRDefault="00DC0696" w:rsidP="00820D97">
            <w:pPr>
              <w:jc w:val="center"/>
            </w:pPr>
            <w:r>
              <w:t>-.0053</w:t>
            </w:r>
          </w:p>
        </w:tc>
        <w:tc>
          <w:tcPr>
            <w:tcW w:w="1440" w:type="dxa"/>
            <w:vAlign w:val="center"/>
          </w:tcPr>
          <w:p w14:paraId="49D8B0AC" w14:textId="77777777" w:rsidR="00820D97" w:rsidRPr="00EE27A1" w:rsidRDefault="00DC0696" w:rsidP="00820D97">
            <w:pPr>
              <w:jc w:val="center"/>
            </w:pPr>
            <w:r>
              <w:t>.0113</w:t>
            </w:r>
          </w:p>
        </w:tc>
        <w:tc>
          <w:tcPr>
            <w:tcW w:w="1440" w:type="dxa"/>
            <w:vAlign w:val="center"/>
          </w:tcPr>
          <w:p w14:paraId="18FE8A08" w14:textId="77777777" w:rsidR="00820D97" w:rsidRPr="00EE27A1" w:rsidRDefault="00DC0696" w:rsidP="00820D97">
            <w:pPr>
              <w:jc w:val="center"/>
            </w:pPr>
            <w:r>
              <w:t>.638</w:t>
            </w:r>
          </w:p>
        </w:tc>
      </w:tr>
      <w:tr w:rsidR="00820D97" w14:paraId="2BE2BD6D" w14:textId="77777777" w:rsidTr="00F12DA1">
        <w:tc>
          <w:tcPr>
            <w:tcW w:w="4158" w:type="dxa"/>
            <w:vAlign w:val="center"/>
          </w:tcPr>
          <w:p w14:paraId="0413663B" w14:textId="77777777" w:rsidR="00820D97" w:rsidRDefault="00820D97" w:rsidP="00820D97">
            <w:r>
              <w:t>OD death rate, lagged 1 year</w:t>
            </w:r>
          </w:p>
        </w:tc>
        <w:tc>
          <w:tcPr>
            <w:tcW w:w="1710" w:type="dxa"/>
            <w:vAlign w:val="center"/>
          </w:tcPr>
          <w:p w14:paraId="77459443" w14:textId="77777777" w:rsidR="00820D97" w:rsidRPr="00EE27A1" w:rsidRDefault="00DC0696" w:rsidP="00820D97">
            <w:pPr>
              <w:jc w:val="center"/>
            </w:pPr>
            <w:r>
              <w:t>-.0010</w:t>
            </w:r>
          </w:p>
        </w:tc>
        <w:tc>
          <w:tcPr>
            <w:tcW w:w="1620" w:type="dxa"/>
            <w:vAlign w:val="center"/>
          </w:tcPr>
          <w:p w14:paraId="4355BC56" w14:textId="77777777" w:rsidR="00820D97" w:rsidRPr="00EE27A1" w:rsidRDefault="00DC0696" w:rsidP="00820D97">
            <w:pPr>
              <w:jc w:val="center"/>
            </w:pPr>
            <w:r>
              <w:t>.0018</w:t>
            </w:r>
          </w:p>
        </w:tc>
        <w:tc>
          <w:tcPr>
            <w:tcW w:w="1440" w:type="dxa"/>
            <w:vAlign w:val="center"/>
          </w:tcPr>
          <w:p w14:paraId="4B26FB98" w14:textId="77777777" w:rsidR="00820D97" w:rsidRPr="00EE27A1" w:rsidRDefault="00DC0696" w:rsidP="00820D97">
            <w:pPr>
              <w:jc w:val="center"/>
            </w:pPr>
            <w:r>
              <w:t>.598</w:t>
            </w:r>
          </w:p>
        </w:tc>
        <w:tc>
          <w:tcPr>
            <w:tcW w:w="1620" w:type="dxa"/>
            <w:vAlign w:val="center"/>
          </w:tcPr>
          <w:p w14:paraId="318ED395" w14:textId="77777777" w:rsidR="00820D97" w:rsidRPr="00EE27A1" w:rsidRDefault="00DC0696" w:rsidP="00820D97">
            <w:pPr>
              <w:jc w:val="center"/>
            </w:pPr>
            <w:r>
              <w:t>.0025</w:t>
            </w:r>
          </w:p>
        </w:tc>
        <w:tc>
          <w:tcPr>
            <w:tcW w:w="1440" w:type="dxa"/>
            <w:vAlign w:val="center"/>
          </w:tcPr>
          <w:p w14:paraId="4F57BB0B" w14:textId="77777777" w:rsidR="00820D97" w:rsidRPr="00EE27A1" w:rsidRDefault="00DC0696" w:rsidP="00820D97">
            <w:pPr>
              <w:jc w:val="center"/>
            </w:pPr>
            <w:r>
              <w:t>.0019</w:t>
            </w:r>
          </w:p>
        </w:tc>
        <w:tc>
          <w:tcPr>
            <w:tcW w:w="1440" w:type="dxa"/>
            <w:vAlign w:val="center"/>
          </w:tcPr>
          <w:p w14:paraId="73AF6C82" w14:textId="77777777" w:rsidR="00820D97" w:rsidRPr="00EE27A1" w:rsidRDefault="00DC0696" w:rsidP="00820D97">
            <w:pPr>
              <w:jc w:val="center"/>
            </w:pPr>
            <w:r>
              <w:t>.177</w:t>
            </w:r>
          </w:p>
        </w:tc>
      </w:tr>
      <w:tr w:rsidR="00820D97" w14:paraId="51BA6D5A" w14:textId="77777777" w:rsidTr="00F12DA1">
        <w:tc>
          <w:tcPr>
            <w:tcW w:w="4158" w:type="dxa"/>
            <w:vAlign w:val="center"/>
          </w:tcPr>
          <w:p w14:paraId="3489BE5D" w14:textId="77777777" w:rsidR="00820D97" w:rsidRDefault="00820D97" w:rsidP="00820D97">
            <w:r>
              <w:t>Methadone clinics per 100,000 pop.</w:t>
            </w:r>
          </w:p>
        </w:tc>
        <w:tc>
          <w:tcPr>
            <w:tcW w:w="1710" w:type="dxa"/>
            <w:vAlign w:val="center"/>
          </w:tcPr>
          <w:p w14:paraId="2358BF5E" w14:textId="77777777" w:rsidR="00820D97" w:rsidRDefault="00DC0696" w:rsidP="00820D97">
            <w:pPr>
              <w:jc w:val="center"/>
            </w:pPr>
            <w:r>
              <w:t>-.0195</w:t>
            </w:r>
          </w:p>
        </w:tc>
        <w:tc>
          <w:tcPr>
            <w:tcW w:w="1620" w:type="dxa"/>
            <w:vAlign w:val="center"/>
          </w:tcPr>
          <w:p w14:paraId="1EB23ADD" w14:textId="77777777" w:rsidR="00820D97" w:rsidRDefault="00DC0696" w:rsidP="00820D97">
            <w:pPr>
              <w:jc w:val="center"/>
            </w:pPr>
            <w:r>
              <w:t>.0579</w:t>
            </w:r>
          </w:p>
        </w:tc>
        <w:tc>
          <w:tcPr>
            <w:tcW w:w="1440" w:type="dxa"/>
            <w:vAlign w:val="center"/>
          </w:tcPr>
          <w:p w14:paraId="3688EF3A" w14:textId="77777777" w:rsidR="00820D97" w:rsidRDefault="00DC0696" w:rsidP="00820D97">
            <w:pPr>
              <w:jc w:val="center"/>
            </w:pPr>
            <w:r>
              <w:t>.737</w:t>
            </w:r>
          </w:p>
        </w:tc>
        <w:tc>
          <w:tcPr>
            <w:tcW w:w="1620" w:type="dxa"/>
            <w:vAlign w:val="center"/>
          </w:tcPr>
          <w:p w14:paraId="3E4E4DBA" w14:textId="77777777" w:rsidR="00820D97" w:rsidRDefault="00DC0696" w:rsidP="00820D97">
            <w:pPr>
              <w:jc w:val="center"/>
            </w:pPr>
            <w:r>
              <w:t>.0507</w:t>
            </w:r>
          </w:p>
        </w:tc>
        <w:tc>
          <w:tcPr>
            <w:tcW w:w="1440" w:type="dxa"/>
            <w:vAlign w:val="center"/>
          </w:tcPr>
          <w:p w14:paraId="5D08A140" w14:textId="77777777" w:rsidR="00820D97" w:rsidRPr="00EE27A1" w:rsidRDefault="00DC0696" w:rsidP="00820D97">
            <w:pPr>
              <w:jc w:val="center"/>
            </w:pPr>
            <w:r>
              <w:t>.0543</w:t>
            </w:r>
          </w:p>
        </w:tc>
        <w:tc>
          <w:tcPr>
            <w:tcW w:w="1440" w:type="dxa"/>
            <w:vAlign w:val="center"/>
          </w:tcPr>
          <w:p w14:paraId="2F1EF56F" w14:textId="77777777" w:rsidR="00820D97" w:rsidRPr="00EE27A1" w:rsidRDefault="00DC0696" w:rsidP="00820D97">
            <w:pPr>
              <w:jc w:val="center"/>
            </w:pPr>
            <w:r>
              <w:t>.350</w:t>
            </w:r>
          </w:p>
        </w:tc>
      </w:tr>
      <w:tr w:rsidR="00820D97" w14:paraId="4A64E1AE" w14:textId="77777777" w:rsidTr="00F12DA1">
        <w:tc>
          <w:tcPr>
            <w:tcW w:w="4158" w:type="dxa"/>
            <w:vAlign w:val="center"/>
          </w:tcPr>
          <w:p w14:paraId="78020137" w14:textId="77777777" w:rsidR="00820D97" w:rsidRDefault="00820D97" w:rsidP="00820D97">
            <w:r>
              <w:t>Median household income</w:t>
            </w:r>
          </w:p>
        </w:tc>
        <w:tc>
          <w:tcPr>
            <w:tcW w:w="1710" w:type="dxa"/>
            <w:vAlign w:val="center"/>
          </w:tcPr>
          <w:p w14:paraId="7FF58DEB" w14:textId="77777777" w:rsidR="00820D97" w:rsidRPr="00DC0696" w:rsidRDefault="00DC0696" w:rsidP="00820D97">
            <w:pPr>
              <w:jc w:val="center"/>
              <w:rPr>
                <w:b/>
              </w:rPr>
            </w:pPr>
            <w:r w:rsidRPr="00DC0696">
              <w:rPr>
                <w:b/>
              </w:rPr>
              <w:t>-2.69e-06</w:t>
            </w:r>
          </w:p>
        </w:tc>
        <w:tc>
          <w:tcPr>
            <w:tcW w:w="1620" w:type="dxa"/>
            <w:vAlign w:val="center"/>
          </w:tcPr>
          <w:p w14:paraId="0A5262CA" w14:textId="77777777" w:rsidR="00820D97" w:rsidRPr="00DC0696" w:rsidRDefault="00DC0696" w:rsidP="00820D97">
            <w:pPr>
              <w:jc w:val="center"/>
              <w:rPr>
                <w:b/>
              </w:rPr>
            </w:pPr>
            <w:r w:rsidRPr="00DC0696">
              <w:rPr>
                <w:b/>
              </w:rPr>
              <w:t>1.38e-06</w:t>
            </w:r>
          </w:p>
        </w:tc>
        <w:tc>
          <w:tcPr>
            <w:tcW w:w="1440" w:type="dxa"/>
            <w:vAlign w:val="center"/>
          </w:tcPr>
          <w:p w14:paraId="15A4A0F3" w14:textId="77777777" w:rsidR="00820D97" w:rsidRPr="00DC0696" w:rsidRDefault="00DC0696" w:rsidP="00820D97">
            <w:pPr>
              <w:jc w:val="center"/>
              <w:rPr>
                <w:b/>
              </w:rPr>
            </w:pPr>
            <w:r w:rsidRPr="00DC0696">
              <w:rPr>
                <w:b/>
              </w:rPr>
              <w:t>.050</w:t>
            </w:r>
          </w:p>
        </w:tc>
        <w:tc>
          <w:tcPr>
            <w:tcW w:w="1620" w:type="dxa"/>
            <w:vAlign w:val="center"/>
          </w:tcPr>
          <w:p w14:paraId="67BF3B47" w14:textId="77777777" w:rsidR="00820D97" w:rsidRPr="00546B85" w:rsidRDefault="00DC0696" w:rsidP="00820D97">
            <w:pPr>
              <w:jc w:val="center"/>
            </w:pPr>
            <w:r>
              <w:t>-3.40e-06</w:t>
            </w:r>
          </w:p>
        </w:tc>
        <w:tc>
          <w:tcPr>
            <w:tcW w:w="1440" w:type="dxa"/>
            <w:vAlign w:val="center"/>
          </w:tcPr>
          <w:p w14:paraId="2E520B0E" w14:textId="77777777" w:rsidR="00820D97" w:rsidRPr="00EE27A1" w:rsidRDefault="00DC0696" w:rsidP="00820D97">
            <w:pPr>
              <w:jc w:val="center"/>
            </w:pPr>
            <w:r>
              <w:t>1.98e-06</w:t>
            </w:r>
          </w:p>
        </w:tc>
        <w:tc>
          <w:tcPr>
            <w:tcW w:w="1440" w:type="dxa"/>
            <w:vAlign w:val="center"/>
          </w:tcPr>
          <w:p w14:paraId="1C7EE005" w14:textId="77777777" w:rsidR="00820D97" w:rsidRPr="00EE27A1" w:rsidRDefault="00DC0696" w:rsidP="00820D97">
            <w:pPr>
              <w:jc w:val="center"/>
            </w:pPr>
            <w:r>
              <w:t>.086</w:t>
            </w:r>
          </w:p>
        </w:tc>
      </w:tr>
      <w:tr w:rsidR="00820D97" w14:paraId="76071B8E" w14:textId="77777777" w:rsidTr="00F12DA1">
        <w:tc>
          <w:tcPr>
            <w:tcW w:w="4158" w:type="dxa"/>
            <w:vAlign w:val="center"/>
          </w:tcPr>
          <w:p w14:paraId="1B329D17" w14:textId="77777777" w:rsidR="00820D97" w:rsidRDefault="00820D97" w:rsidP="00820D97">
            <w:r>
              <w:t>Percent black</w:t>
            </w:r>
          </w:p>
        </w:tc>
        <w:tc>
          <w:tcPr>
            <w:tcW w:w="1710" w:type="dxa"/>
            <w:vAlign w:val="center"/>
          </w:tcPr>
          <w:p w14:paraId="7FC13CC4" w14:textId="77777777" w:rsidR="00820D97" w:rsidRPr="00DC0696" w:rsidRDefault="00DC0696" w:rsidP="00820D97">
            <w:pPr>
              <w:jc w:val="center"/>
              <w:rPr>
                <w:b/>
              </w:rPr>
            </w:pPr>
            <w:r w:rsidRPr="00DC0696">
              <w:rPr>
                <w:b/>
              </w:rPr>
              <w:t>-1.1597</w:t>
            </w:r>
          </w:p>
        </w:tc>
        <w:tc>
          <w:tcPr>
            <w:tcW w:w="1620" w:type="dxa"/>
            <w:vAlign w:val="center"/>
          </w:tcPr>
          <w:p w14:paraId="33451AFF" w14:textId="77777777" w:rsidR="00820D97" w:rsidRPr="00DC0696" w:rsidRDefault="00DC0696" w:rsidP="00820D97">
            <w:pPr>
              <w:jc w:val="center"/>
              <w:rPr>
                <w:b/>
              </w:rPr>
            </w:pPr>
            <w:r w:rsidRPr="00DC0696">
              <w:rPr>
                <w:b/>
              </w:rPr>
              <w:t>.2953</w:t>
            </w:r>
          </w:p>
        </w:tc>
        <w:tc>
          <w:tcPr>
            <w:tcW w:w="1440" w:type="dxa"/>
            <w:vAlign w:val="center"/>
          </w:tcPr>
          <w:p w14:paraId="7D2982C6" w14:textId="77777777" w:rsidR="00820D97" w:rsidRPr="00DC0696" w:rsidRDefault="00DC0696" w:rsidP="00820D97">
            <w:pPr>
              <w:jc w:val="center"/>
              <w:rPr>
                <w:b/>
              </w:rPr>
            </w:pPr>
            <w:r w:rsidRPr="00DC0696">
              <w:rPr>
                <w:b/>
              </w:rPr>
              <w:t>&lt; .001</w:t>
            </w:r>
          </w:p>
        </w:tc>
        <w:tc>
          <w:tcPr>
            <w:tcW w:w="1620" w:type="dxa"/>
            <w:vAlign w:val="center"/>
          </w:tcPr>
          <w:p w14:paraId="3C8AD37A" w14:textId="77777777" w:rsidR="00820D97" w:rsidRPr="0022567A" w:rsidRDefault="00DC0696" w:rsidP="00820D97">
            <w:pPr>
              <w:jc w:val="center"/>
              <w:rPr>
                <w:b/>
              </w:rPr>
            </w:pPr>
            <w:r>
              <w:rPr>
                <w:b/>
              </w:rPr>
              <w:t>-</w:t>
            </w:r>
          </w:p>
        </w:tc>
        <w:tc>
          <w:tcPr>
            <w:tcW w:w="1440" w:type="dxa"/>
            <w:vAlign w:val="center"/>
          </w:tcPr>
          <w:p w14:paraId="34DFB860" w14:textId="77777777" w:rsidR="00820D97" w:rsidRPr="00EE27A1" w:rsidRDefault="00DC0696" w:rsidP="00820D97">
            <w:pPr>
              <w:jc w:val="center"/>
            </w:pPr>
            <w:r>
              <w:t>-</w:t>
            </w:r>
          </w:p>
        </w:tc>
        <w:tc>
          <w:tcPr>
            <w:tcW w:w="1440" w:type="dxa"/>
            <w:vAlign w:val="center"/>
          </w:tcPr>
          <w:p w14:paraId="05B1188A" w14:textId="77777777" w:rsidR="00820D97" w:rsidRPr="00EE27A1" w:rsidRDefault="00DC0696" w:rsidP="00820D97">
            <w:pPr>
              <w:jc w:val="center"/>
            </w:pPr>
            <w:r>
              <w:t>-</w:t>
            </w:r>
          </w:p>
        </w:tc>
      </w:tr>
      <w:tr w:rsidR="00820D97" w14:paraId="6E15267A" w14:textId="77777777" w:rsidTr="00F12DA1">
        <w:tc>
          <w:tcPr>
            <w:tcW w:w="4158" w:type="dxa"/>
            <w:vAlign w:val="center"/>
          </w:tcPr>
          <w:p w14:paraId="09B903FC" w14:textId="77777777" w:rsidR="00820D97" w:rsidRDefault="00820D97" w:rsidP="00820D97">
            <w:r>
              <w:t>Percent Hispanic</w:t>
            </w:r>
          </w:p>
        </w:tc>
        <w:tc>
          <w:tcPr>
            <w:tcW w:w="1710" w:type="dxa"/>
            <w:vAlign w:val="center"/>
          </w:tcPr>
          <w:p w14:paraId="19DA9585" w14:textId="77777777" w:rsidR="00820D97" w:rsidRPr="00EE27A1" w:rsidRDefault="00DC0696" w:rsidP="00820D97">
            <w:pPr>
              <w:jc w:val="center"/>
            </w:pPr>
            <w:r>
              <w:t>-</w:t>
            </w:r>
          </w:p>
        </w:tc>
        <w:tc>
          <w:tcPr>
            <w:tcW w:w="1620" w:type="dxa"/>
            <w:vAlign w:val="center"/>
          </w:tcPr>
          <w:p w14:paraId="71A6C0EB" w14:textId="77777777" w:rsidR="00820D97" w:rsidRPr="00EE27A1" w:rsidRDefault="00DC0696" w:rsidP="00820D97">
            <w:pPr>
              <w:jc w:val="center"/>
            </w:pPr>
            <w:r>
              <w:t>-</w:t>
            </w:r>
          </w:p>
        </w:tc>
        <w:tc>
          <w:tcPr>
            <w:tcW w:w="1440" w:type="dxa"/>
            <w:vAlign w:val="center"/>
          </w:tcPr>
          <w:p w14:paraId="2543DAA7" w14:textId="77777777" w:rsidR="00820D97" w:rsidRPr="00EE27A1" w:rsidRDefault="00DC0696" w:rsidP="00820D97">
            <w:pPr>
              <w:jc w:val="center"/>
            </w:pPr>
            <w:r>
              <w:t>-</w:t>
            </w:r>
          </w:p>
        </w:tc>
        <w:tc>
          <w:tcPr>
            <w:tcW w:w="1620" w:type="dxa"/>
            <w:vAlign w:val="center"/>
          </w:tcPr>
          <w:p w14:paraId="37280612" w14:textId="77777777" w:rsidR="00820D97" w:rsidRPr="00DC0696" w:rsidRDefault="00DC0696" w:rsidP="00820D97">
            <w:pPr>
              <w:jc w:val="center"/>
              <w:rPr>
                <w:b/>
              </w:rPr>
            </w:pPr>
            <w:r w:rsidRPr="00DC0696">
              <w:rPr>
                <w:b/>
              </w:rPr>
              <w:t>-.9467</w:t>
            </w:r>
          </w:p>
        </w:tc>
        <w:tc>
          <w:tcPr>
            <w:tcW w:w="1440" w:type="dxa"/>
            <w:vAlign w:val="center"/>
          </w:tcPr>
          <w:p w14:paraId="157DAC5F" w14:textId="77777777" w:rsidR="00820D97" w:rsidRPr="00DC0696" w:rsidRDefault="00DC0696" w:rsidP="00820D97">
            <w:pPr>
              <w:jc w:val="center"/>
              <w:rPr>
                <w:b/>
              </w:rPr>
            </w:pPr>
            <w:r w:rsidRPr="00DC0696">
              <w:rPr>
                <w:b/>
              </w:rPr>
              <w:t>.3785</w:t>
            </w:r>
          </w:p>
        </w:tc>
        <w:tc>
          <w:tcPr>
            <w:tcW w:w="1440" w:type="dxa"/>
            <w:vAlign w:val="center"/>
          </w:tcPr>
          <w:p w14:paraId="114A6519" w14:textId="77777777" w:rsidR="00820D97" w:rsidRPr="00DC0696" w:rsidRDefault="00DC0696" w:rsidP="00820D97">
            <w:pPr>
              <w:jc w:val="center"/>
              <w:rPr>
                <w:b/>
              </w:rPr>
            </w:pPr>
            <w:r w:rsidRPr="00DC0696">
              <w:rPr>
                <w:b/>
              </w:rPr>
              <w:t>.012</w:t>
            </w:r>
          </w:p>
        </w:tc>
      </w:tr>
      <w:tr w:rsidR="00820D97" w14:paraId="5E498BA0" w14:textId="77777777" w:rsidTr="00F12DA1">
        <w:tc>
          <w:tcPr>
            <w:tcW w:w="4158" w:type="dxa"/>
            <w:vAlign w:val="center"/>
          </w:tcPr>
          <w:p w14:paraId="3C721194" w14:textId="77777777" w:rsidR="00820D97" w:rsidRDefault="00820D97" w:rsidP="00820D97">
            <w:r>
              <w:t>Constant</w:t>
            </w:r>
          </w:p>
        </w:tc>
        <w:tc>
          <w:tcPr>
            <w:tcW w:w="1710" w:type="dxa"/>
            <w:vAlign w:val="center"/>
          </w:tcPr>
          <w:p w14:paraId="7F192CF5" w14:textId="77777777" w:rsidR="00820D97" w:rsidRPr="00DC0696" w:rsidRDefault="00DC0696" w:rsidP="00820D97">
            <w:pPr>
              <w:jc w:val="center"/>
              <w:rPr>
                <w:b/>
              </w:rPr>
            </w:pPr>
            <w:r w:rsidRPr="00DC0696">
              <w:rPr>
                <w:b/>
              </w:rPr>
              <w:t>.4589</w:t>
            </w:r>
          </w:p>
        </w:tc>
        <w:tc>
          <w:tcPr>
            <w:tcW w:w="1620" w:type="dxa"/>
            <w:vAlign w:val="center"/>
          </w:tcPr>
          <w:p w14:paraId="03DEBD2D" w14:textId="77777777" w:rsidR="00820D97" w:rsidRPr="00DC0696" w:rsidRDefault="00DC0696" w:rsidP="00820D97">
            <w:pPr>
              <w:jc w:val="center"/>
              <w:rPr>
                <w:b/>
              </w:rPr>
            </w:pPr>
            <w:r w:rsidRPr="00DC0696">
              <w:rPr>
                <w:b/>
              </w:rPr>
              <w:t>.1033</w:t>
            </w:r>
          </w:p>
        </w:tc>
        <w:tc>
          <w:tcPr>
            <w:tcW w:w="1440" w:type="dxa"/>
            <w:vAlign w:val="center"/>
          </w:tcPr>
          <w:p w14:paraId="130C18BA" w14:textId="77777777" w:rsidR="00820D97" w:rsidRPr="00DC0696" w:rsidRDefault="00DC0696" w:rsidP="00820D97">
            <w:pPr>
              <w:jc w:val="center"/>
              <w:rPr>
                <w:b/>
              </w:rPr>
            </w:pPr>
            <w:r w:rsidRPr="00DC0696">
              <w:rPr>
                <w:b/>
              </w:rPr>
              <w:t>&lt; .001</w:t>
            </w:r>
          </w:p>
        </w:tc>
        <w:tc>
          <w:tcPr>
            <w:tcW w:w="1620" w:type="dxa"/>
            <w:vAlign w:val="center"/>
          </w:tcPr>
          <w:p w14:paraId="521D65F2" w14:textId="77777777" w:rsidR="00820D97" w:rsidRPr="00DC0696" w:rsidRDefault="00DC0696" w:rsidP="00820D97">
            <w:pPr>
              <w:jc w:val="center"/>
              <w:rPr>
                <w:b/>
              </w:rPr>
            </w:pPr>
            <w:r w:rsidRPr="00DC0696">
              <w:rPr>
                <w:b/>
              </w:rPr>
              <w:t>.4883</w:t>
            </w:r>
          </w:p>
        </w:tc>
        <w:tc>
          <w:tcPr>
            <w:tcW w:w="1440" w:type="dxa"/>
            <w:vAlign w:val="center"/>
          </w:tcPr>
          <w:p w14:paraId="4CDCCE9A" w14:textId="77777777" w:rsidR="00820D97" w:rsidRPr="00DC0696" w:rsidRDefault="00DC0696" w:rsidP="00820D97">
            <w:pPr>
              <w:jc w:val="center"/>
              <w:rPr>
                <w:b/>
              </w:rPr>
            </w:pPr>
            <w:r w:rsidRPr="00DC0696">
              <w:rPr>
                <w:b/>
              </w:rPr>
              <w:t>.1354</w:t>
            </w:r>
          </w:p>
        </w:tc>
        <w:tc>
          <w:tcPr>
            <w:tcW w:w="1440" w:type="dxa"/>
            <w:vAlign w:val="center"/>
          </w:tcPr>
          <w:p w14:paraId="4DEED40B" w14:textId="77777777" w:rsidR="00820D97" w:rsidRPr="00DC0696" w:rsidRDefault="00DC0696" w:rsidP="00820D97">
            <w:pPr>
              <w:jc w:val="center"/>
              <w:rPr>
                <w:b/>
              </w:rPr>
            </w:pPr>
            <w:r w:rsidRPr="00DC0696">
              <w:rPr>
                <w:b/>
              </w:rPr>
              <w:t>&lt; .001</w:t>
            </w:r>
          </w:p>
        </w:tc>
      </w:tr>
    </w:tbl>
    <w:p w14:paraId="467E6CF7" w14:textId="77777777" w:rsidR="00820D97" w:rsidRDefault="00820D97" w:rsidP="00820D97">
      <w:pPr>
        <w:spacing w:before="200" w:after="0"/>
      </w:pPr>
      <w:r>
        <w:t>Note: Tobit regression controlling for clustering of values by county and year. N = 9</w:t>
      </w:r>
      <w:r w:rsidR="00352252">
        <w:t>2</w:t>
      </w:r>
      <w:r>
        <w:t>.</w:t>
      </w:r>
      <w:r w:rsidR="00A9335A" w:rsidRPr="00A9335A">
        <w:t xml:space="preserve"> </w:t>
      </w:r>
      <w:r w:rsidR="00A9335A">
        <w:t xml:space="preserve">Parameters significant at the .05 level are in </w:t>
      </w:r>
      <w:r w:rsidR="00A9335A" w:rsidRPr="00761EB9">
        <w:rPr>
          <w:b/>
        </w:rPr>
        <w:t>bold</w:t>
      </w:r>
      <w:r w:rsidR="00A9335A">
        <w:t xml:space="preserve">. </w:t>
      </w:r>
      <w:r>
        <w:t xml:space="preserve"> </w:t>
      </w:r>
    </w:p>
    <w:p w14:paraId="7B271286" w14:textId="77777777" w:rsidR="00682E75" w:rsidRDefault="00682E75">
      <w:r>
        <w:br w:type="page"/>
      </w:r>
    </w:p>
    <w:p w14:paraId="24FE93DF" w14:textId="77777777" w:rsidR="00D00B5D" w:rsidRDefault="00874760" w:rsidP="00B77FF8">
      <w:pPr>
        <w:tabs>
          <w:tab w:val="left" w:pos="3060"/>
        </w:tabs>
        <w:rPr>
          <w:b/>
        </w:rPr>
      </w:pPr>
      <w:r>
        <w:rPr>
          <w:b/>
        </w:rPr>
        <w:lastRenderedPageBreak/>
        <w:t xml:space="preserve">Table III.4: </w:t>
      </w:r>
      <w:r w:rsidR="00D00B5D">
        <w:rPr>
          <w:b/>
        </w:rPr>
        <w:t xml:space="preserve">Association of </w:t>
      </w:r>
      <w:r w:rsidR="00DA062A">
        <w:rPr>
          <w:b/>
        </w:rPr>
        <w:t>Access</w:t>
      </w:r>
      <w:r w:rsidR="00D00B5D">
        <w:rPr>
          <w:b/>
        </w:rPr>
        <w:t xml:space="preserve"> </w:t>
      </w:r>
      <w:r w:rsidR="00DA062A">
        <w:rPr>
          <w:b/>
        </w:rPr>
        <w:t xml:space="preserve">to </w:t>
      </w:r>
      <w:r w:rsidR="00D00B5D">
        <w:rPr>
          <w:b/>
        </w:rPr>
        <w:t>Treatment with Prescriber Sh</w:t>
      </w:r>
      <w:r w:rsidR="00F12DA1">
        <w:rPr>
          <w:b/>
        </w:rPr>
        <w:t>ared-patient Network Properties</w:t>
      </w:r>
      <w:r w:rsidR="00D00B5D">
        <w:rPr>
          <w:b/>
        </w:rPr>
        <w:t>, by Massachusetts County, 2015 – 2018</w:t>
      </w:r>
    </w:p>
    <w:p w14:paraId="557B88C9" w14:textId="77777777" w:rsidR="00A9335A" w:rsidRDefault="00874760" w:rsidP="00A9335A">
      <w:pPr>
        <w:spacing w:after="0"/>
      </w:pPr>
      <w:r>
        <w:rPr>
          <w:b/>
        </w:rPr>
        <w:t>III.</w:t>
      </w:r>
      <w:r w:rsidR="00A9335A">
        <w:rPr>
          <w:b/>
        </w:rPr>
        <w:t xml:space="preserve">4a. </w:t>
      </w:r>
      <w:r w:rsidR="00A9335A" w:rsidRPr="00E52C9F">
        <w:rPr>
          <w:b/>
        </w:rPr>
        <w:t xml:space="preserve">Dependent variable: </w:t>
      </w:r>
      <w:r w:rsidR="00DA062A">
        <w:rPr>
          <w:b/>
        </w:rPr>
        <w:t>Access to treatment</w:t>
      </w:r>
    </w:p>
    <w:tbl>
      <w:tblPr>
        <w:tblStyle w:val="TableGrid"/>
        <w:tblW w:w="13454" w:type="dxa"/>
        <w:tblLook w:val="04A0" w:firstRow="1" w:lastRow="0" w:firstColumn="1" w:lastColumn="0" w:noHBand="0" w:noVBand="1"/>
      </w:tblPr>
      <w:tblGrid>
        <w:gridCol w:w="4248"/>
        <w:gridCol w:w="1710"/>
        <w:gridCol w:w="1530"/>
        <w:gridCol w:w="1440"/>
        <w:gridCol w:w="1530"/>
        <w:gridCol w:w="1530"/>
        <w:gridCol w:w="1466"/>
      </w:tblGrid>
      <w:tr w:rsidR="00A9335A" w14:paraId="6D2DF20C" w14:textId="77777777" w:rsidTr="00F12DA1">
        <w:tc>
          <w:tcPr>
            <w:tcW w:w="4248" w:type="dxa"/>
            <w:vAlign w:val="center"/>
          </w:tcPr>
          <w:p w14:paraId="7F3B5863" w14:textId="77777777" w:rsidR="00A9335A" w:rsidRPr="00E52C9F" w:rsidRDefault="00A9335A" w:rsidP="004A10EA">
            <w:pPr>
              <w:jc w:val="center"/>
              <w:rPr>
                <w:b/>
              </w:rPr>
            </w:pPr>
            <w:r w:rsidRPr="00E52C9F">
              <w:rPr>
                <w:b/>
              </w:rPr>
              <w:t>Ind. variables</w:t>
            </w:r>
          </w:p>
        </w:tc>
        <w:tc>
          <w:tcPr>
            <w:tcW w:w="1710" w:type="dxa"/>
            <w:vAlign w:val="center"/>
          </w:tcPr>
          <w:p w14:paraId="22BAD836" w14:textId="77777777" w:rsidR="00A9335A" w:rsidRPr="00E52C9F" w:rsidRDefault="00A9335A" w:rsidP="004A10EA">
            <w:pPr>
              <w:jc w:val="center"/>
              <w:rPr>
                <w:b/>
              </w:rPr>
            </w:pPr>
            <w:r w:rsidRPr="00E52C9F">
              <w:rPr>
                <w:b/>
              </w:rPr>
              <w:t>Coefficient</w:t>
            </w:r>
          </w:p>
        </w:tc>
        <w:tc>
          <w:tcPr>
            <w:tcW w:w="1530" w:type="dxa"/>
            <w:vAlign w:val="center"/>
          </w:tcPr>
          <w:p w14:paraId="75054809" w14:textId="77777777" w:rsidR="00A9335A" w:rsidRPr="00E52C9F" w:rsidRDefault="00A9335A" w:rsidP="004A10EA">
            <w:pPr>
              <w:jc w:val="center"/>
              <w:rPr>
                <w:b/>
              </w:rPr>
            </w:pPr>
            <w:r>
              <w:rPr>
                <w:b/>
              </w:rPr>
              <w:t>Std. error</w:t>
            </w:r>
          </w:p>
        </w:tc>
        <w:tc>
          <w:tcPr>
            <w:tcW w:w="1440" w:type="dxa"/>
            <w:vAlign w:val="center"/>
          </w:tcPr>
          <w:p w14:paraId="66A978DA" w14:textId="77777777" w:rsidR="00A9335A" w:rsidRPr="00E52C9F" w:rsidRDefault="00A9335A" w:rsidP="004A10EA">
            <w:pPr>
              <w:jc w:val="center"/>
              <w:rPr>
                <w:b/>
              </w:rPr>
            </w:pPr>
            <w:r>
              <w:rPr>
                <w:b/>
              </w:rPr>
              <w:t>P-value</w:t>
            </w:r>
          </w:p>
        </w:tc>
        <w:tc>
          <w:tcPr>
            <w:tcW w:w="1530" w:type="dxa"/>
            <w:vAlign w:val="center"/>
          </w:tcPr>
          <w:p w14:paraId="0E8E3F81" w14:textId="77777777" w:rsidR="00A9335A" w:rsidRPr="00E52C9F" w:rsidRDefault="00A9335A" w:rsidP="004A10EA">
            <w:pPr>
              <w:jc w:val="center"/>
              <w:rPr>
                <w:b/>
              </w:rPr>
            </w:pPr>
            <w:r w:rsidRPr="00E52C9F">
              <w:rPr>
                <w:b/>
              </w:rPr>
              <w:t>Coefficient</w:t>
            </w:r>
          </w:p>
        </w:tc>
        <w:tc>
          <w:tcPr>
            <w:tcW w:w="1530" w:type="dxa"/>
            <w:vAlign w:val="center"/>
          </w:tcPr>
          <w:p w14:paraId="0226F875" w14:textId="77777777" w:rsidR="00A9335A" w:rsidRPr="00E52C9F" w:rsidRDefault="00A9335A" w:rsidP="004A10EA">
            <w:pPr>
              <w:jc w:val="center"/>
              <w:rPr>
                <w:b/>
              </w:rPr>
            </w:pPr>
            <w:r>
              <w:rPr>
                <w:b/>
              </w:rPr>
              <w:t>Std. error</w:t>
            </w:r>
          </w:p>
        </w:tc>
        <w:tc>
          <w:tcPr>
            <w:tcW w:w="1466" w:type="dxa"/>
            <w:vAlign w:val="center"/>
          </w:tcPr>
          <w:p w14:paraId="2C1643A6" w14:textId="77777777" w:rsidR="00A9335A" w:rsidRPr="00E52C9F" w:rsidRDefault="00A9335A" w:rsidP="004A10EA">
            <w:pPr>
              <w:jc w:val="center"/>
              <w:rPr>
                <w:b/>
              </w:rPr>
            </w:pPr>
            <w:r>
              <w:rPr>
                <w:b/>
              </w:rPr>
              <w:t>P-value</w:t>
            </w:r>
          </w:p>
        </w:tc>
      </w:tr>
      <w:tr w:rsidR="00A9335A" w14:paraId="62B7FE2B" w14:textId="77777777" w:rsidTr="00F12DA1">
        <w:tc>
          <w:tcPr>
            <w:tcW w:w="4248" w:type="dxa"/>
            <w:vAlign w:val="center"/>
          </w:tcPr>
          <w:p w14:paraId="16ABB6CA" w14:textId="77777777" w:rsidR="00A9335A" w:rsidRDefault="00F12DA1" w:rsidP="004A10EA">
            <w:r>
              <w:t>Number of waivered prescribers per 10,000 pop.</w:t>
            </w:r>
          </w:p>
        </w:tc>
        <w:tc>
          <w:tcPr>
            <w:tcW w:w="1710" w:type="dxa"/>
            <w:vAlign w:val="center"/>
          </w:tcPr>
          <w:p w14:paraId="549023BF" w14:textId="77777777" w:rsidR="00A9335A" w:rsidRPr="00F57133" w:rsidRDefault="00F57133" w:rsidP="004A10EA">
            <w:pPr>
              <w:jc w:val="center"/>
              <w:rPr>
                <w:b/>
              </w:rPr>
            </w:pPr>
            <w:r w:rsidRPr="00F57133">
              <w:rPr>
                <w:b/>
              </w:rPr>
              <w:t>-.0092</w:t>
            </w:r>
          </w:p>
        </w:tc>
        <w:tc>
          <w:tcPr>
            <w:tcW w:w="1530" w:type="dxa"/>
            <w:vAlign w:val="center"/>
          </w:tcPr>
          <w:p w14:paraId="38B8315A" w14:textId="77777777" w:rsidR="00A9335A" w:rsidRPr="00F57133" w:rsidRDefault="00F57133" w:rsidP="004A10EA">
            <w:pPr>
              <w:jc w:val="center"/>
              <w:rPr>
                <w:b/>
              </w:rPr>
            </w:pPr>
            <w:r w:rsidRPr="00F57133">
              <w:rPr>
                <w:b/>
              </w:rPr>
              <w:t>.0033</w:t>
            </w:r>
          </w:p>
        </w:tc>
        <w:tc>
          <w:tcPr>
            <w:tcW w:w="1440" w:type="dxa"/>
            <w:vAlign w:val="center"/>
          </w:tcPr>
          <w:p w14:paraId="0D4A10CE" w14:textId="77777777" w:rsidR="00A9335A" w:rsidRPr="00F57133" w:rsidRDefault="00F57133" w:rsidP="004A10EA">
            <w:pPr>
              <w:jc w:val="center"/>
              <w:rPr>
                <w:b/>
              </w:rPr>
            </w:pPr>
            <w:r w:rsidRPr="00F57133">
              <w:rPr>
                <w:b/>
              </w:rPr>
              <w:t>.006</w:t>
            </w:r>
          </w:p>
        </w:tc>
        <w:tc>
          <w:tcPr>
            <w:tcW w:w="1530" w:type="dxa"/>
            <w:vAlign w:val="center"/>
          </w:tcPr>
          <w:p w14:paraId="6D7370C5" w14:textId="77777777" w:rsidR="00A9335A" w:rsidRPr="00F57133" w:rsidRDefault="00F57133" w:rsidP="004A10EA">
            <w:pPr>
              <w:jc w:val="center"/>
              <w:rPr>
                <w:b/>
              </w:rPr>
            </w:pPr>
            <w:r w:rsidRPr="00F57133">
              <w:rPr>
                <w:b/>
              </w:rPr>
              <w:t>-.0070</w:t>
            </w:r>
          </w:p>
        </w:tc>
        <w:tc>
          <w:tcPr>
            <w:tcW w:w="1530" w:type="dxa"/>
            <w:vAlign w:val="center"/>
          </w:tcPr>
          <w:p w14:paraId="00BA2FC7" w14:textId="77777777" w:rsidR="00A9335A" w:rsidRPr="00F57133" w:rsidRDefault="00F57133" w:rsidP="004A10EA">
            <w:pPr>
              <w:jc w:val="center"/>
              <w:rPr>
                <w:b/>
              </w:rPr>
            </w:pPr>
            <w:r w:rsidRPr="00F57133">
              <w:rPr>
                <w:b/>
              </w:rPr>
              <w:t>.0031</w:t>
            </w:r>
          </w:p>
        </w:tc>
        <w:tc>
          <w:tcPr>
            <w:tcW w:w="1466" w:type="dxa"/>
            <w:vAlign w:val="center"/>
          </w:tcPr>
          <w:p w14:paraId="01C7A2AA" w14:textId="77777777" w:rsidR="00A9335A" w:rsidRPr="00F57133" w:rsidRDefault="00F57133" w:rsidP="004A10EA">
            <w:pPr>
              <w:jc w:val="center"/>
              <w:rPr>
                <w:b/>
              </w:rPr>
            </w:pPr>
            <w:r w:rsidRPr="00F57133">
              <w:rPr>
                <w:b/>
              </w:rPr>
              <w:t>.024</w:t>
            </w:r>
          </w:p>
        </w:tc>
      </w:tr>
      <w:tr w:rsidR="00A9335A" w14:paraId="4FF047C2" w14:textId="77777777" w:rsidTr="00F12DA1">
        <w:tc>
          <w:tcPr>
            <w:tcW w:w="4248" w:type="dxa"/>
            <w:vAlign w:val="center"/>
          </w:tcPr>
          <w:p w14:paraId="479E959E" w14:textId="77777777" w:rsidR="00A9335A" w:rsidRDefault="00A9335A" w:rsidP="004A10EA">
            <w:r>
              <w:t>OD death rate, lagged 1 year</w:t>
            </w:r>
          </w:p>
        </w:tc>
        <w:tc>
          <w:tcPr>
            <w:tcW w:w="1710" w:type="dxa"/>
            <w:vAlign w:val="center"/>
          </w:tcPr>
          <w:p w14:paraId="29DE9F66" w14:textId="77777777" w:rsidR="00A9335A" w:rsidRPr="00EE27A1" w:rsidRDefault="00F57133" w:rsidP="004A10EA">
            <w:pPr>
              <w:jc w:val="center"/>
            </w:pPr>
            <w:r>
              <w:t>.0003</w:t>
            </w:r>
          </w:p>
        </w:tc>
        <w:tc>
          <w:tcPr>
            <w:tcW w:w="1530" w:type="dxa"/>
            <w:vAlign w:val="center"/>
          </w:tcPr>
          <w:p w14:paraId="5C95CD17" w14:textId="77777777" w:rsidR="00A9335A" w:rsidRPr="00EE27A1" w:rsidRDefault="00F57133" w:rsidP="004A10EA">
            <w:pPr>
              <w:jc w:val="center"/>
            </w:pPr>
            <w:r>
              <w:t>.0008</w:t>
            </w:r>
          </w:p>
        </w:tc>
        <w:tc>
          <w:tcPr>
            <w:tcW w:w="1440" w:type="dxa"/>
            <w:vAlign w:val="center"/>
          </w:tcPr>
          <w:p w14:paraId="79E9DEAB" w14:textId="77777777" w:rsidR="00A9335A" w:rsidRPr="00EE27A1" w:rsidRDefault="00F57133" w:rsidP="004A10EA">
            <w:pPr>
              <w:jc w:val="center"/>
            </w:pPr>
            <w:r>
              <w:t>.718</w:t>
            </w:r>
          </w:p>
        </w:tc>
        <w:tc>
          <w:tcPr>
            <w:tcW w:w="1530" w:type="dxa"/>
            <w:vAlign w:val="center"/>
          </w:tcPr>
          <w:p w14:paraId="1C1034DE" w14:textId="77777777" w:rsidR="00A9335A" w:rsidRPr="00EE27A1" w:rsidRDefault="00F57133" w:rsidP="004A10EA">
            <w:pPr>
              <w:jc w:val="center"/>
            </w:pPr>
            <w:r>
              <w:t>.0010</w:t>
            </w:r>
          </w:p>
        </w:tc>
        <w:tc>
          <w:tcPr>
            <w:tcW w:w="1530" w:type="dxa"/>
            <w:vAlign w:val="center"/>
          </w:tcPr>
          <w:p w14:paraId="34C8EE1C" w14:textId="77777777" w:rsidR="00A9335A" w:rsidRPr="00EE27A1" w:rsidRDefault="00F57133" w:rsidP="004A10EA">
            <w:pPr>
              <w:jc w:val="center"/>
            </w:pPr>
            <w:r>
              <w:t>.0009</w:t>
            </w:r>
          </w:p>
        </w:tc>
        <w:tc>
          <w:tcPr>
            <w:tcW w:w="1466" w:type="dxa"/>
            <w:vAlign w:val="center"/>
          </w:tcPr>
          <w:p w14:paraId="1B636A43" w14:textId="77777777" w:rsidR="00A9335A" w:rsidRPr="00EE27A1" w:rsidRDefault="00F57133" w:rsidP="004A10EA">
            <w:pPr>
              <w:jc w:val="center"/>
            </w:pPr>
            <w:r>
              <w:t>.260</w:t>
            </w:r>
          </w:p>
        </w:tc>
      </w:tr>
      <w:tr w:rsidR="00A9335A" w14:paraId="7F1B656F" w14:textId="77777777" w:rsidTr="00F12DA1">
        <w:tc>
          <w:tcPr>
            <w:tcW w:w="4248" w:type="dxa"/>
            <w:vAlign w:val="center"/>
          </w:tcPr>
          <w:p w14:paraId="4FFDB8E3" w14:textId="77777777" w:rsidR="00A9335A" w:rsidRDefault="00A9335A" w:rsidP="004A10EA">
            <w:r>
              <w:t>Methadone clinics per 100,000 pop.</w:t>
            </w:r>
          </w:p>
        </w:tc>
        <w:tc>
          <w:tcPr>
            <w:tcW w:w="1710" w:type="dxa"/>
            <w:vAlign w:val="center"/>
          </w:tcPr>
          <w:p w14:paraId="53AACD62" w14:textId="77777777" w:rsidR="00A9335A" w:rsidRDefault="00F57133" w:rsidP="004A10EA">
            <w:pPr>
              <w:jc w:val="center"/>
            </w:pPr>
            <w:r>
              <w:t>-.0165</w:t>
            </w:r>
          </w:p>
        </w:tc>
        <w:tc>
          <w:tcPr>
            <w:tcW w:w="1530" w:type="dxa"/>
            <w:vAlign w:val="center"/>
          </w:tcPr>
          <w:p w14:paraId="5A95F82D" w14:textId="77777777" w:rsidR="00A9335A" w:rsidRDefault="00F57133" w:rsidP="004A10EA">
            <w:pPr>
              <w:jc w:val="center"/>
            </w:pPr>
            <w:r>
              <w:t>.0193</w:t>
            </w:r>
          </w:p>
        </w:tc>
        <w:tc>
          <w:tcPr>
            <w:tcW w:w="1440" w:type="dxa"/>
            <w:vAlign w:val="center"/>
          </w:tcPr>
          <w:p w14:paraId="465EAC71" w14:textId="77777777" w:rsidR="00A9335A" w:rsidRDefault="00F57133" w:rsidP="004A10EA">
            <w:pPr>
              <w:jc w:val="center"/>
            </w:pPr>
            <w:r>
              <w:t>.392</w:t>
            </w:r>
          </w:p>
        </w:tc>
        <w:tc>
          <w:tcPr>
            <w:tcW w:w="1530" w:type="dxa"/>
            <w:vAlign w:val="center"/>
          </w:tcPr>
          <w:p w14:paraId="390A3994" w14:textId="77777777" w:rsidR="00A9335A" w:rsidRPr="00F57133" w:rsidRDefault="00F57133" w:rsidP="004A10EA">
            <w:pPr>
              <w:jc w:val="center"/>
              <w:rPr>
                <w:b/>
              </w:rPr>
            </w:pPr>
            <w:r w:rsidRPr="00F57133">
              <w:rPr>
                <w:b/>
              </w:rPr>
              <w:t>-.0758</w:t>
            </w:r>
          </w:p>
        </w:tc>
        <w:tc>
          <w:tcPr>
            <w:tcW w:w="1530" w:type="dxa"/>
            <w:vAlign w:val="center"/>
          </w:tcPr>
          <w:p w14:paraId="584FA407" w14:textId="77777777" w:rsidR="00A9335A" w:rsidRPr="00F57133" w:rsidRDefault="00F57133" w:rsidP="004A10EA">
            <w:pPr>
              <w:jc w:val="center"/>
              <w:rPr>
                <w:b/>
              </w:rPr>
            </w:pPr>
            <w:r w:rsidRPr="00F57133">
              <w:rPr>
                <w:b/>
              </w:rPr>
              <w:t>.0237</w:t>
            </w:r>
          </w:p>
        </w:tc>
        <w:tc>
          <w:tcPr>
            <w:tcW w:w="1466" w:type="dxa"/>
            <w:vAlign w:val="center"/>
          </w:tcPr>
          <w:p w14:paraId="02548267" w14:textId="77777777" w:rsidR="00A9335A" w:rsidRPr="00F57133" w:rsidRDefault="00F57133" w:rsidP="004A10EA">
            <w:pPr>
              <w:jc w:val="center"/>
              <w:rPr>
                <w:b/>
              </w:rPr>
            </w:pPr>
            <w:r w:rsidRPr="00F57133">
              <w:rPr>
                <w:b/>
              </w:rPr>
              <w:t>.001</w:t>
            </w:r>
          </w:p>
        </w:tc>
      </w:tr>
      <w:tr w:rsidR="00A9335A" w14:paraId="6CE03D2B" w14:textId="77777777" w:rsidTr="00F12DA1">
        <w:tc>
          <w:tcPr>
            <w:tcW w:w="4248" w:type="dxa"/>
            <w:vAlign w:val="center"/>
          </w:tcPr>
          <w:p w14:paraId="590F401F" w14:textId="77777777" w:rsidR="00A9335A" w:rsidRDefault="00A9335A" w:rsidP="004A10EA">
            <w:r>
              <w:t>Percent of population in poverty</w:t>
            </w:r>
          </w:p>
        </w:tc>
        <w:tc>
          <w:tcPr>
            <w:tcW w:w="1710" w:type="dxa"/>
            <w:vAlign w:val="center"/>
          </w:tcPr>
          <w:p w14:paraId="391BCC4A" w14:textId="77777777" w:rsidR="00A9335A" w:rsidRPr="00546B85" w:rsidRDefault="00F57133" w:rsidP="004A10EA">
            <w:pPr>
              <w:jc w:val="center"/>
            </w:pPr>
            <w:r>
              <w:t>.0019</w:t>
            </w:r>
          </w:p>
        </w:tc>
        <w:tc>
          <w:tcPr>
            <w:tcW w:w="1530" w:type="dxa"/>
            <w:vAlign w:val="center"/>
          </w:tcPr>
          <w:p w14:paraId="7A79035A" w14:textId="77777777" w:rsidR="00A9335A" w:rsidRPr="00546B85" w:rsidRDefault="00F57133" w:rsidP="00F57133">
            <w:pPr>
              <w:jc w:val="center"/>
            </w:pPr>
            <w:r>
              <w:t>.0027</w:t>
            </w:r>
          </w:p>
        </w:tc>
        <w:tc>
          <w:tcPr>
            <w:tcW w:w="1440" w:type="dxa"/>
            <w:vAlign w:val="center"/>
          </w:tcPr>
          <w:p w14:paraId="0F82970C" w14:textId="77777777" w:rsidR="00A9335A" w:rsidRPr="00546B85" w:rsidRDefault="00F57133" w:rsidP="004A10EA">
            <w:pPr>
              <w:jc w:val="center"/>
            </w:pPr>
            <w:r>
              <w:t>.492</w:t>
            </w:r>
          </w:p>
        </w:tc>
        <w:tc>
          <w:tcPr>
            <w:tcW w:w="1530" w:type="dxa"/>
            <w:vAlign w:val="center"/>
          </w:tcPr>
          <w:p w14:paraId="1FE96ADF" w14:textId="77777777" w:rsidR="00A9335A" w:rsidRPr="00546B85" w:rsidRDefault="003B55BA" w:rsidP="004A10EA">
            <w:pPr>
              <w:jc w:val="center"/>
            </w:pPr>
            <w:r>
              <w:t>-</w:t>
            </w:r>
          </w:p>
        </w:tc>
        <w:tc>
          <w:tcPr>
            <w:tcW w:w="1530" w:type="dxa"/>
            <w:vAlign w:val="center"/>
          </w:tcPr>
          <w:p w14:paraId="58B5B9BD" w14:textId="77777777" w:rsidR="00A9335A" w:rsidRPr="00EE27A1" w:rsidRDefault="003B55BA" w:rsidP="004A10EA">
            <w:pPr>
              <w:jc w:val="center"/>
            </w:pPr>
            <w:r>
              <w:t>-</w:t>
            </w:r>
          </w:p>
        </w:tc>
        <w:tc>
          <w:tcPr>
            <w:tcW w:w="1466" w:type="dxa"/>
            <w:vAlign w:val="center"/>
          </w:tcPr>
          <w:p w14:paraId="4EA36180" w14:textId="77777777" w:rsidR="00A9335A" w:rsidRPr="00EE27A1" w:rsidRDefault="003B55BA" w:rsidP="004A10EA">
            <w:pPr>
              <w:jc w:val="center"/>
            </w:pPr>
            <w:r>
              <w:t>-</w:t>
            </w:r>
          </w:p>
        </w:tc>
      </w:tr>
      <w:tr w:rsidR="00A9335A" w14:paraId="29C3F33E" w14:textId="77777777" w:rsidTr="00F12DA1">
        <w:tc>
          <w:tcPr>
            <w:tcW w:w="4248" w:type="dxa"/>
            <w:vAlign w:val="center"/>
          </w:tcPr>
          <w:p w14:paraId="71979A5F" w14:textId="77777777" w:rsidR="00A9335A" w:rsidRDefault="003B55BA" w:rsidP="004A10EA">
            <w:r>
              <w:t>MHI</w:t>
            </w:r>
          </w:p>
        </w:tc>
        <w:tc>
          <w:tcPr>
            <w:tcW w:w="1710" w:type="dxa"/>
            <w:vAlign w:val="center"/>
          </w:tcPr>
          <w:p w14:paraId="600A232C" w14:textId="77777777" w:rsidR="00A9335A" w:rsidRPr="00EE27A1" w:rsidRDefault="003B55BA" w:rsidP="004A10EA">
            <w:pPr>
              <w:jc w:val="center"/>
            </w:pPr>
            <w:r>
              <w:t>-</w:t>
            </w:r>
          </w:p>
        </w:tc>
        <w:tc>
          <w:tcPr>
            <w:tcW w:w="1530" w:type="dxa"/>
            <w:vAlign w:val="center"/>
          </w:tcPr>
          <w:p w14:paraId="7FF44824" w14:textId="77777777" w:rsidR="00A9335A" w:rsidRPr="00EE27A1" w:rsidRDefault="003B55BA" w:rsidP="004A10EA">
            <w:pPr>
              <w:jc w:val="center"/>
            </w:pPr>
            <w:r>
              <w:t>-</w:t>
            </w:r>
          </w:p>
        </w:tc>
        <w:tc>
          <w:tcPr>
            <w:tcW w:w="1440" w:type="dxa"/>
            <w:vAlign w:val="center"/>
          </w:tcPr>
          <w:p w14:paraId="59808244" w14:textId="77777777" w:rsidR="00A9335A" w:rsidRPr="00EE27A1" w:rsidRDefault="003B55BA" w:rsidP="004A10EA">
            <w:pPr>
              <w:jc w:val="center"/>
            </w:pPr>
            <w:r>
              <w:t>-</w:t>
            </w:r>
          </w:p>
        </w:tc>
        <w:tc>
          <w:tcPr>
            <w:tcW w:w="1530" w:type="dxa"/>
            <w:vAlign w:val="center"/>
          </w:tcPr>
          <w:p w14:paraId="321247D7" w14:textId="77777777" w:rsidR="00A9335A" w:rsidRPr="0022567A" w:rsidRDefault="00F57133" w:rsidP="004A10EA">
            <w:pPr>
              <w:jc w:val="center"/>
              <w:rPr>
                <w:b/>
              </w:rPr>
            </w:pPr>
            <w:r>
              <w:rPr>
                <w:b/>
              </w:rPr>
              <w:t>-2.42e-06</w:t>
            </w:r>
          </w:p>
        </w:tc>
        <w:tc>
          <w:tcPr>
            <w:tcW w:w="1530" w:type="dxa"/>
            <w:vAlign w:val="center"/>
          </w:tcPr>
          <w:p w14:paraId="025AD47B" w14:textId="77777777" w:rsidR="00A9335A" w:rsidRPr="00F57133" w:rsidRDefault="00F57133" w:rsidP="004A10EA">
            <w:pPr>
              <w:jc w:val="center"/>
              <w:rPr>
                <w:b/>
              </w:rPr>
            </w:pPr>
            <w:r w:rsidRPr="00F57133">
              <w:rPr>
                <w:b/>
              </w:rPr>
              <w:t>6.13e-07</w:t>
            </w:r>
          </w:p>
        </w:tc>
        <w:tc>
          <w:tcPr>
            <w:tcW w:w="1466" w:type="dxa"/>
            <w:vAlign w:val="center"/>
          </w:tcPr>
          <w:p w14:paraId="71963032" w14:textId="77777777" w:rsidR="00A9335A" w:rsidRPr="00F57133" w:rsidRDefault="00F57133" w:rsidP="004A10EA">
            <w:pPr>
              <w:jc w:val="center"/>
              <w:rPr>
                <w:b/>
              </w:rPr>
            </w:pPr>
            <w:r w:rsidRPr="00F57133">
              <w:rPr>
                <w:b/>
              </w:rPr>
              <w:t>&lt; .001</w:t>
            </w:r>
          </w:p>
        </w:tc>
      </w:tr>
      <w:tr w:rsidR="00A9335A" w14:paraId="49243A3C" w14:textId="77777777" w:rsidTr="00F12DA1">
        <w:tc>
          <w:tcPr>
            <w:tcW w:w="4248" w:type="dxa"/>
            <w:vAlign w:val="center"/>
          </w:tcPr>
          <w:p w14:paraId="5D574C7E" w14:textId="77777777" w:rsidR="00A9335A" w:rsidRDefault="003B55BA" w:rsidP="004A10EA">
            <w:r>
              <w:t>Percent of prescribers in LCC</w:t>
            </w:r>
          </w:p>
        </w:tc>
        <w:tc>
          <w:tcPr>
            <w:tcW w:w="1710" w:type="dxa"/>
            <w:vAlign w:val="center"/>
          </w:tcPr>
          <w:p w14:paraId="791E55BC" w14:textId="77777777" w:rsidR="00A9335A" w:rsidRPr="00F57133" w:rsidRDefault="00F57133" w:rsidP="004A10EA">
            <w:pPr>
              <w:jc w:val="center"/>
              <w:rPr>
                <w:b/>
              </w:rPr>
            </w:pPr>
            <w:r w:rsidRPr="00F57133">
              <w:rPr>
                <w:b/>
              </w:rPr>
              <w:t>.0011</w:t>
            </w:r>
          </w:p>
        </w:tc>
        <w:tc>
          <w:tcPr>
            <w:tcW w:w="1530" w:type="dxa"/>
            <w:vAlign w:val="center"/>
          </w:tcPr>
          <w:p w14:paraId="1BCC16F1" w14:textId="77777777" w:rsidR="00A9335A" w:rsidRPr="00F57133" w:rsidRDefault="00F57133" w:rsidP="004A10EA">
            <w:pPr>
              <w:jc w:val="center"/>
              <w:rPr>
                <w:b/>
              </w:rPr>
            </w:pPr>
            <w:r w:rsidRPr="00F57133">
              <w:rPr>
                <w:b/>
              </w:rPr>
              <w:t>.0003</w:t>
            </w:r>
          </w:p>
        </w:tc>
        <w:tc>
          <w:tcPr>
            <w:tcW w:w="1440" w:type="dxa"/>
            <w:vAlign w:val="center"/>
          </w:tcPr>
          <w:p w14:paraId="7F98E8F3" w14:textId="77777777" w:rsidR="00A9335A" w:rsidRPr="00F57133" w:rsidRDefault="00F57133" w:rsidP="004A10EA">
            <w:pPr>
              <w:jc w:val="center"/>
              <w:rPr>
                <w:b/>
              </w:rPr>
            </w:pPr>
            <w:r w:rsidRPr="00F57133">
              <w:rPr>
                <w:b/>
              </w:rPr>
              <w:t>&lt; .001</w:t>
            </w:r>
          </w:p>
        </w:tc>
        <w:tc>
          <w:tcPr>
            <w:tcW w:w="1530" w:type="dxa"/>
            <w:vAlign w:val="center"/>
          </w:tcPr>
          <w:p w14:paraId="282DA478" w14:textId="77777777" w:rsidR="00A9335A" w:rsidRPr="00F57133" w:rsidRDefault="00F57133" w:rsidP="004A10EA">
            <w:pPr>
              <w:jc w:val="center"/>
              <w:rPr>
                <w:b/>
              </w:rPr>
            </w:pPr>
            <w:r w:rsidRPr="00F57133">
              <w:rPr>
                <w:b/>
              </w:rPr>
              <w:t>.0010</w:t>
            </w:r>
          </w:p>
        </w:tc>
        <w:tc>
          <w:tcPr>
            <w:tcW w:w="1530" w:type="dxa"/>
            <w:vAlign w:val="center"/>
          </w:tcPr>
          <w:p w14:paraId="7A0B6289" w14:textId="77777777" w:rsidR="00A9335A" w:rsidRPr="00F57133" w:rsidRDefault="00F57133" w:rsidP="004A10EA">
            <w:pPr>
              <w:jc w:val="center"/>
              <w:rPr>
                <w:b/>
              </w:rPr>
            </w:pPr>
            <w:r w:rsidRPr="00F57133">
              <w:rPr>
                <w:b/>
              </w:rPr>
              <w:t>.0003</w:t>
            </w:r>
          </w:p>
        </w:tc>
        <w:tc>
          <w:tcPr>
            <w:tcW w:w="1466" w:type="dxa"/>
            <w:vAlign w:val="center"/>
          </w:tcPr>
          <w:p w14:paraId="21D024E5" w14:textId="77777777" w:rsidR="00A9335A" w:rsidRPr="00F57133" w:rsidRDefault="00F57133" w:rsidP="004A10EA">
            <w:pPr>
              <w:jc w:val="center"/>
              <w:rPr>
                <w:b/>
              </w:rPr>
            </w:pPr>
            <w:r w:rsidRPr="00F57133">
              <w:rPr>
                <w:b/>
              </w:rPr>
              <w:t>.001</w:t>
            </w:r>
          </w:p>
        </w:tc>
      </w:tr>
      <w:tr w:rsidR="00A9335A" w14:paraId="4D969544" w14:textId="77777777" w:rsidTr="00F12DA1">
        <w:tc>
          <w:tcPr>
            <w:tcW w:w="4248" w:type="dxa"/>
            <w:vAlign w:val="center"/>
          </w:tcPr>
          <w:p w14:paraId="0DDAEFDC" w14:textId="77777777" w:rsidR="00A9335A" w:rsidRDefault="00A9335A" w:rsidP="004A10EA">
            <w:r>
              <w:t>Constant</w:t>
            </w:r>
          </w:p>
        </w:tc>
        <w:tc>
          <w:tcPr>
            <w:tcW w:w="1710" w:type="dxa"/>
            <w:vAlign w:val="center"/>
          </w:tcPr>
          <w:p w14:paraId="23307928" w14:textId="77777777" w:rsidR="00A9335A" w:rsidRPr="00F57133" w:rsidRDefault="00F57133" w:rsidP="004A10EA">
            <w:pPr>
              <w:jc w:val="center"/>
              <w:rPr>
                <w:b/>
              </w:rPr>
            </w:pPr>
            <w:r w:rsidRPr="00F57133">
              <w:rPr>
                <w:b/>
              </w:rPr>
              <w:t>.1238</w:t>
            </w:r>
          </w:p>
        </w:tc>
        <w:tc>
          <w:tcPr>
            <w:tcW w:w="1530" w:type="dxa"/>
            <w:vAlign w:val="center"/>
          </w:tcPr>
          <w:p w14:paraId="15A4A9C8" w14:textId="77777777" w:rsidR="00A9335A" w:rsidRPr="00F57133" w:rsidRDefault="00F57133" w:rsidP="004A10EA">
            <w:pPr>
              <w:jc w:val="center"/>
              <w:rPr>
                <w:b/>
              </w:rPr>
            </w:pPr>
            <w:r w:rsidRPr="00F57133">
              <w:rPr>
                <w:b/>
              </w:rPr>
              <w:t>.0476</w:t>
            </w:r>
          </w:p>
        </w:tc>
        <w:tc>
          <w:tcPr>
            <w:tcW w:w="1440" w:type="dxa"/>
            <w:vAlign w:val="center"/>
          </w:tcPr>
          <w:p w14:paraId="6912249C" w14:textId="77777777" w:rsidR="00A9335A" w:rsidRPr="00F57133" w:rsidRDefault="00F57133" w:rsidP="004A10EA">
            <w:pPr>
              <w:jc w:val="center"/>
              <w:rPr>
                <w:b/>
              </w:rPr>
            </w:pPr>
            <w:r w:rsidRPr="00F57133">
              <w:rPr>
                <w:b/>
              </w:rPr>
              <w:t>.009</w:t>
            </w:r>
          </w:p>
        </w:tc>
        <w:tc>
          <w:tcPr>
            <w:tcW w:w="1530" w:type="dxa"/>
            <w:vAlign w:val="center"/>
          </w:tcPr>
          <w:p w14:paraId="78137565" w14:textId="77777777" w:rsidR="00A9335A" w:rsidRPr="00F57133" w:rsidRDefault="00F57133" w:rsidP="004A10EA">
            <w:pPr>
              <w:jc w:val="center"/>
              <w:rPr>
                <w:b/>
              </w:rPr>
            </w:pPr>
            <w:r w:rsidRPr="00F57133">
              <w:rPr>
                <w:b/>
              </w:rPr>
              <w:t>.3336</w:t>
            </w:r>
          </w:p>
        </w:tc>
        <w:tc>
          <w:tcPr>
            <w:tcW w:w="1530" w:type="dxa"/>
            <w:vAlign w:val="center"/>
          </w:tcPr>
          <w:p w14:paraId="1D8BA625" w14:textId="77777777" w:rsidR="00A9335A" w:rsidRPr="00F57133" w:rsidRDefault="00F57133" w:rsidP="004A10EA">
            <w:pPr>
              <w:jc w:val="center"/>
              <w:rPr>
                <w:b/>
              </w:rPr>
            </w:pPr>
            <w:r w:rsidRPr="00F57133">
              <w:rPr>
                <w:b/>
              </w:rPr>
              <w:t>.0685</w:t>
            </w:r>
          </w:p>
        </w:tc>
        <w:tc>
          <w:tcPr>
            <w:tcW w:w="1466" w:type="dxa"/>
            <w:vAlign w:val="center"/>
          </w:tcPr>
          <w:p w14:paraId="11719610" w14:textId="77777777" w:rsidR="00A9335A" w:rsidRPr="00F57133" w:rsidRDefault="00F57133" w:rsidP="004A10EA">
            <w:pPr>
              <w:jc w:val="center"/>
              <w:rPr>
                <w:b/>
              </w:rPr>
            </w:pPr>
            <w:r w:rsidRPr="00F57133">
              <w:rPr>
                <w:b/>
              </w:rPr>
              <w:t>&lt; .001</w:t>
            </w:r>
          </w:p>
        </w:tc>
      </w:tr>
    </w:tbl>
    <w:p w14:paraId="24E9270C" w14:textId="77777777" w:rsidR="00A9335A" w:rsidRDefault="00A9335A" w:rsidP="00A9335A">
      <w:pPr>
        <w:spacing w:after="0"/>
        <w:ind w:firstLine="720"/>
        <w:rPr>
          <w:b/>
        </w:rPr>
      </w:pPr>
    </w:p>
    <w:p w14:paraId="1F8BCCEE" w14:textId="77777777" w:rsidR="00A9335A" w:rsidRDefault="00874760" w:rsidP="00A9335A">
      <w:pPr>
        <w:spacing w:after="0"/>
      </w:pPr>
      <w:r>
        <w:rPr>
          <w:b/>
        </w:rPr>
        <w:t>III.</w:t>
      </w:r>
      <w:r w:rsidR="00A9335A">
        <w:rPr>
          <w:b/>
        </w:rPr>
        <w:t xml:space="preserve">4b. </w:t>
      </w:r>
      <w:r w:rsidR="00A9335A" w:rsidRPr="00E52C9F">
        <w:rPr>
          <w:b/>
        </w:rPr>
        <w:t xml:space="preserve">Dependent variable: </w:t>
      </w:r>
      <w:r w:rsidR="00DA062A">
        <w:rPr>
          <w:b/>
        </w:rPr>
        <w:t>Access to treatment</w:t>
      </w:r>
    </w:p>
    <w:tbl>
      <w:tblPr>
        <w:tblStyle w:val="TableGrid"/>
        <w:tblW w:w="13428" w:type="dxa"/>
        <w:tblLook w:val="04A0" w:firstRow="1" w:lastRow="0" w:firstColumn="1" w:lastColumn="0" w:noHBand="0" w:noVBand="1"/>
      </w:tblPr>
      <w:tblGrid>
        <w:gridCol w:w="4248"/>
        <w:gridCol w:w="1710"/>
        <w:gridCol w:w="1530"/>
        <w:gridCol w:w="1440"/>
        <w:gridCol w:w="1530"/>
        <w:gridCol w:w="1530"/>
        <w:gridCol w:w="1440"/>
      </w:tblGrid>
      <w:tr w:rsidR="00A9335A" w14:paraId="38883306" w14:textId="77777777" w:rsidTr="00F12DA1">
        <w:tc>
          <w:tcPr>
            <w:tcW w:w="4248" w:type="dxa"/>
            <w:vAlign w:val="center"/>
          </w:tcPr>
          <w:p w14:paraId="51418A92" w14:textId="77777777" w:rsidR="00A9335A" w:rsidRPr="00E52C9F" w:rsidRDefault="00A9335A" w:rsidP="004A10EA">
            <w:pPr>
              <w:jc w:val="center"/>
              <w:rPr>
                <w:b/>
              </w:rPr>
            </w:pPr>
            <w:r w:rsidRPr="00E52C9F">
              <w:rPr>
                <w:b/>
              </w:rPr>
              <w:t>Ind. variables</w:t>
            </w:r>
          </w:p>
        </w:tc>
        <w:tc>
          <w:tcPr>
            <w:tcW w:w="1710" w:type="dxa"/>
            <w:vAlign w:val="center"/>
          </w:tcPr>
          <w:p w14:paraId="5A6DE126" w14:textId="77777777" w:rsidR="00A9335A" w:rsidRPr="00E52C9F" w:rsidRDefault="00A9335A" w:rsidP="004A10EA">
            <w:pPr>
              <w:jc w:val="center"/>
              <w:rPr>
                <w:b/>
              </w:rPr>
            </w:pPr>
            <w:r w:rsidRPr="00E52C9F">
              <w:rPr>
                <w:b/>
              </w:rPr>
              <w:t>Coefficient</w:t>
            </w:r>
          </w:p>
        </w:tc>
        <w:tc>
          <w:tcPr>
            <w:tcW w:w="1530" w:type="dxa"/>
            <w:vAlign w:val="center"/>
          </w:tcPr>
          <w:p w14:paraId="44634E0A" w14:textId="77777777" w:rsidR="00A9335A" w:rsidRPr="00E52C9F" w:rsidRDefault="00A9335A" w:rsidP="004A10EA">
            <w:pPr>
              <w:jc w:val="center"/>
              <w:rPr>
                <w:b/>
              </w:rPr>
            </w:pPr>
            <w:r>
              <w:rPr>
                <w:b/>
              </w:rPr>
              <w:t>Std. error</w:t>
            </w:r>
          </w:p>
        </w:tc>
        <w:tc>
          <w:tcPr>
            <w:tcW w:w="1440" w:type="dxa"/>
            <w:vAlign w:val="center"/>
          </w:tcPr>
          <w:p w14:paraId="30B5AA4E" w14:textId="77777777" w:rsidR="00A9335A" w:rsidRPr="00E52C9F" w:rsidRDefault="00A9335A" w:rsidP="004A10EA">
            <w:pPr>
              <w:jc w:val="center"/>
              <w:rPr>
                <w:b/>
              </w:rPr>
            </w:pPr>
            <w:r>
              <w:rPr>
                <w:b/>
              </w:rPr>
              <w:t>P-value</w:t>
            </w:r>
          </w:p>
        </w:tc>
        <w:tc>
          <w:tcPr>
            <w:tcW w:w="1530" w:type="dxa"/>
            <w:vAlign w:val="center"/>
          </w:tcPr>
          <w:p w14:paraId="44532F8D" w14:textId="77777777" w:rsidR="00A9335A" w:rsidRPr="00E52C9F" w:rsidRDefault="00A9335A" w:rsidP="004A10EA">
            <w:pPr>
              <w:jc w:val="center"/>
              <w:rPr>
                <w:b/>
              </w:rPr>
            </w:pPr>
            <w:r w:rsidRPr="00E52C9F">
              <w:rPr>
                <w:b/>
              </w:rPr>
              <w:t>Coefficient</w:t>
            </w:r>
          </w:p>
        </w:tc>
        <w:tc>
          <w:tcPr>
            <w:tcW w:w="1530" w:type="dxa"/>
            <w:vAlign w:val="center"/>
          </w:tcPr>
          <w:p w14:paraId="46541D6C" w14:textId="77777777" w:rsidR="00A9335A" w:rsidRPr="00E52C9F" w:rsidRDefault="00A9335A" w:rsidP="004A10EA">
            <w:pPr>
              <w:jc w:val="center"/>
              <w:rPr>
                <w:b/>
              </w:rPr>
            </w:pPr>
            <w:r>
              <w:rPr>
                <w:b/>
              </w:rPr>
              <w:t>Std. error</w:t>
            </w:r>
          </w:p>
        </w:tc>
        <w:tc>
          <w:tcPr>
            <w:tcW w:w="1440" w:type="dxa"/>
            <w:vAlign w:val="center"/>
          </w:tcPr>
          <w:p w14:paraId="23F992F9" w14:textId="77777777" w:rsidR="00A9335A" w:rsidRPr="00E52C9F" w:rsidRDefault="00A9335A" w:rsidP="004A10EA">
            <w:pPr>
              <w:jc w:val="center"/>
              <w:rPr>
                <w:b/>
              </w:rPr>
            </w:pPr>
            <w:r>
              <w:rPr>
                <w:b/>
              </w:rPr>
              <w:t>P-value</w:t>
            </w:r>
          </w:p>
        </w:tc>
      </w:tr>
      <w:tr w:rsidR="00A9335A" w14:paraId="0F4230D0" w14:textId="77777777" w:rsidTr="00F12DA1">
        <w:tc>
          <w:tcPr>
            <w:tcW w:w="4248" w:type="dxa"/>
            <w:vAlign w:val="center"/>
          </w:tcPr>
          <w:p w14:paraId="5C1A3B7A" w14:textId="77777777" w:rsidR="00A9335A" w:rsidRDefault="00F12DA1" w:rsidP="004A10EA">
            <w:r>
              <w:t>Number of waivered prescribers per 10,000 pop.</w:t>
            </w:r>
          </w:p>
        </w:tc>
        <w:tc>
          <w:tcPr>
            <w:tcW w:w="1710" w:type="dxa"/>
            <w:vAlign w:val="center"/>
          </w:tcPr>
          <w:p w14:paraId="7568B067" w14:textId="77777777" w:rsidR="00A9335A" w:rsidRDefault="00F57133" w:rsidP="004A10EA">
            <w:pPr>
              <w:jc w:val="center"/>
            </w:pPr>
            <w:r>
              <w:t>-.0052</w:t>
            </w:r>
          </w:p>
        </w:tc>
        <w:tc>
          <w:tcPr>
            <w:tcW w:w="1530" w:type="dxa"/>
            <w:vAlign w:val="center"/>
          </w:tcPr>
          <w:p w14:paraId="4C444DA3" w14:textId="77777777" w:rsidR="00A9335A" w:rsidRDefault="00F57133" w:rsidP="004A10EA">
            <w:pPr>
              <w:jc w:val="center"/>
            </w:pPr>
            <w:r>
              <w:t>.0040</w:t>
            </w:r>
          </w:p>
        </w:tc>
        <w:tc>
          <w:tcPr>
            <w:tcW w:w="1440" w:type="dxa"/>
            <w:vAlign w:val="center"/>
          </w:tcPr>
          <w:p w14:paraId="7363478B" w14:textId="77777777" w:rsidR="00A9335A" w:rsidRDefault="00F57133" w:rsidP="004A10EA">
            <w:pPr>
              <w:jc w:val="center"/>
            </w:pPr>
            <w:r>
              <w:t>.194</w:t>
            </w:r>
          </w:p>
        </w:tc>
        <w:tc>
          <w:tcPr>
            <w:tcW w:w="1530" w:type="dxa"/>
            <w:vAlign w:val="center"/>
          </w:tcPr>
          <w:p w14:paraId="42BC9DD3" w14:textId="77777777" w:rsidR="00A9335A" w:rsidRPr="00546B85" w:rsidRDefault="00F57133" w:rsidP="004A10EA">
            <w:pPr>
              <w:jc w:val="center"/>
            </w:pPr>
            <w:r>
              <w:t>-.0043</w:t>
            </w:r>
          </w:p>
        </w:tc>
        <w:tc>
          <w:tcPr>
            <w:tcW w:w="1530" w:type="dxa"/>
            <w:vAlign w:val="center"/>
          </w:tcPr>
          <w:p w14:paraId="58FF8B15" w14:textId="77777777" w:rsidR="00A9335A" w:rsidRPr="00EE27A1" w:rsidRDefault="00F57133" w:rsidP="004A10EA">
            <w:pPr>
              <w:jc w:val="center"/>
            </w:pPr>
            <w:r>
              <w:t>.0034</w:t>
            </w:r>
          </w:p>
        </w:tc>
        <w:tc>
          <w:tcPr>
            <w:tcW w:w="1440" w:type="dxa"/>
            <w:vAlign w:val="center"/>
          </w:tcPr>
          <w:p w14:paraId="5E877FE4" w14:textId="77777777" w:rsidR="00A9335A" w:rsidRPr="00EE27A1" w:rsidRDefault="00F57133" w:rsidP="004A10EA">
            <w:pPr>
              <w:jc w:val="center"/>
            </w:pPr>
            <w:r>
              <w:t>.206</w:t>
            </w:r>
          </w:p>
        </w:tc>
      </w:tr>
      <w:tr w:rsidR="00A9335A" w14:paraId="3C3CC549" w14:textId="77777777" w:rsidTr="00F12DA1">
        <w:tc>
          <w:tcPr>
            <w:tcW w:w="4248" w:type="dxa"/>
            <w:vAlign w:val="center"/>
          </w:tcPr>
          <w:p w14:paraId="79574D03" w14:textId="77777777" w:rsidR="00A9335A" w:rsidRDefault="00A9335A" w:rsidP="004A10EA">
            <w:r>
              <w:t>OD death rate, lagged 1 year</w:t>
            </w:r>
          </w:p>
        </w:tc>
        <w:tc>
          <w:tcPr>
            <w:tcW w:w="1710" w:type="dxa"/>
            <w:vAlign w:val="center"/>
          </w:tcPr>
          <w:p w14:paraId="253267CC" w14:textId="77777777" w:rsidR="00A9335A" w:rsidRPr="00EE27A1" w:rsidRDefault="00F57133" w:rsidP="004A10EA">
            <w:pPr>
              <w:jc w:val="center"/>
            </w:pPr>
            <w:r>
              <w:t>.0001</w:t>
            </w:r>
          </w:p>
        </w:tc>
        <w:tc>
          <w:tcPr>
            <w:tcW w:w="1530" w:type="dxa"/>
            <w:vAlign w:val="center"/>
          </w:tcPr>
          <w:p w14:paraId="19C4D2C1" w14:textId="77777777" w:rsidR="00A9335A" w:rsidRPr="00EE27A1" w:rsidRDefault="00F57133" w:rsidP="004A10EA">
            <w:pPr>
              <w:jc w:val="center"/>
            </w:pPr>
            <w:r>
              <w:t>.0010</w:t>
            </w:r>
          </w:p>
        </w:tc>
        <w:tc>
          <w:tcPr>
            <w:tcW w:w="1440" w:type="dxa"/>
            <w:vAlign w:val="center"/>
          </w:tcPr>
          <w:p w14:paraId="2ED60131" w14:textId="77777777" w:rsidR="00A9335A" w:rsidRPr="00EE27A1" w:rsidRDefault="00F57133" w:rsidP="004A10EA">
            <w:pPr>
              <w:jc w:val="center"/>
            </w:pPr>
            <w:r>
              <w:t>.898</w:t>
            </w:r>
          </w:p>
        </w:tc>
        <w:tc>
          <w:tcPr>
            <w:tcW w:w="1530" w:type="dxa"/>
            <w:vAlign w:val="center"/>
          </w:tcPr>
          <w:p w14:paraId="62F88ECA" w14:textId="77777777" w:rsidR="00A9335A" w:rsidRPr="00EE27A1" w:rsidRDefault="00F57133" w:rsidP="004A10EA">
            <w:pPr>
              <w:jc w:val="center"/>
            </w:pPr>
            <w:r>
              <w:t>.0001</w:t>
            </w:r>
          </w:p>
        </w:tc>
        <w:tc>
          <w:tcPr>
            <w:tcW w:w="1530" w:type="dxa"/>
            <w:vAlign w:val="center"/>
          </w:tcPr>
          <w:p w14:paraId="748ABAFD" w14:textId="77777777" w:rsidR="00A9335A" w:rsidRPr="00EE27A1" w:rsidRDefault="00F57133" w:rsidP="004A10EA">
            <w:pPr>
              <w:jc w:val="center"/>
            </w:pPr>
            <w:r>
              <w:t>.0008</w:t>
            </w:r>
          </w:p>
        </w:tc>
        <w:tc>
          <w:tcPr>
            <w:tcW w:w="1440" w:type="dxa"/>
            <w:vAlign w:val="center"/>
          </w:tcPr>
          <w:p w14:paraId="0934736D" w14:textId="77777777" w:rsidR="00A9335A" w:rsidRPr="00EE27A1" w:rsidRDefault="00F57133" w:rsidP="004A10EA">
            <w:pPr>
              <w:jc w:val="center"/>
            </w:pPr>
            <w:r>
              <w:t>.922</w:t>
            </w:r>
          </w:p>
        </w:tc>
      </w:tr>
      <w:tr w:rsidR="00A9335A" w14:paraId="0215ABC6" w14:textId="77777777" w:rsidTr="00F12DA1">
        <w:tc>
          <w:tcPr>
            <w:tcW w:w="4248" w:type="dxa"/>
            <w:vAlign w:val="center"/>
          </w:tcPr>
          <w:p w14:paraId="02694D34" w14:textId="77777777" w:rsidR="00A9335A" w:rsidRDefault="00A9335A" w:rsidP="004A10EA">
            <w:r>
              <w:t>Methadone clinics per 100,000 pop.</w:t>
            </w:r>
          </w:p>
        </w:tc>
        <w:tc>
          <w:tcPr>
            <w:tcW w:w="1710" w:type="dxa"/>
            <w:vAlign w:val="center"/>
          </w:tcPr>
          <w:p w14:paraId="1CC3628A" w14:textId="77777777" w:rsidR="00A9335A" w:rsidRDefault="00F57133" w:rsidP="004A10EA">
            <w:pPr>
              <w:jc w:val="center"/>
            </w:pPr>
            <w:r>
              <w:t>-.0322</w:t>
            </w:r>
          </w:p>
        </w:tc>
        <w:tc>
          <w:tcPr>
            <w:tcW w:w="1530" w:type="dxa"/>
            <w:vAlign w:val="center"/>
          </w:tcPr>
          <w:p w14:paraId="0EA806C7" w14:textId="77777777" w:rsidR="00A9335A" w:rsidRDefault="00F57133" w:rsidP="004A10EA">
            <w:pPr>
              <w:jc w:val="center"/>
            </w:pPr>
            <w:r>
              <w:t>.0244</w:t>
            </w:r>
          </w:p>
        </w:tc>
        <w:tc>
          <w:tcPr>
            <w:tcW w:w="1440" w:type="dxa"/>
            <w:vAlign w:val="center"/>
          </w:tcPr>
          <w:p w14:paraId="5F18C513" w14:textId="77777777" w:rsidR="00A9335A" w:rsidRDefault="00F57133" w:rsidP="004A10EA">
            <w:pPr>
              <w:jc w:val="center"/>
            </w:pPr>
            <w:r>
              <w:t>.188</w:t>
            </w:r>
          </w:p>
        </w:tc>
        <w:tc>
          <w:tcPr>
            <w:tcW w:w="1530" w:type="dxa"/>
            <w:vAlign w:val="center"/>
          </w:tcPr>
          <w:p w14:paraId="544D605D" w14:textId="77777777" w:rsidR="00A9335A" w:rsidRPr="00B77FF8" w:rsidRDefault="00F57133" w:rsidP="004A10EA">
            <w:pPr>
              <w:jc w:val="center"/>
              <w:rPr>
                <w:b/>
              </w:rPr>
            </w:pPr>
            <w:r w:rsidRPr="00B77FF8">
              <w:rPr>
                <w:b/>
              </w:rPr>
              <w:t>-.0798</w:t>
            </w:r>
          </w:p>
        </w:tc>
        <w:tc>
          <w:tcPr>
            <w:tcW w:w="1530" w:type="dxa"/>
            <w:vAlign w:val="center"/>
          </w:tcPr>
          <w:p w14:paraId="3776B04B" w14:textId="77777777" w:rsidR="00A9335A" w:rsidRPr="00B77FF8" w:rsidRDefault="00F57133" w:rsidP="004A10EA">
            <w:pPr>
              <w:jc w:val="center"/>
              <w:rPr>
                <w:b/>
              </w:rPr>
            </w:pPr>
            <w:r w:rsidRPr="00B77FF8">
              <w:rPr>
                <w:b/>
              </w:rPr>
              <w:t>.0239</w:t>
            </w:r>
          </w:p>
        </w:tc>
        <w:tc>
          <w:tcPr>
            <w:tcW w:w="1440" w:type="dxa"/>
            <w:vAlign w:val="center"/>
          </w:tcPr>
          <w:p w14:paraId="5F560549" w14:textId="77777777" w:rsidR="00A9335A" w:rsidRPr="00B77FF8" w:rsidRDefault="00F57133" w:rsidP="004A10EA">
            <w:pPr>
              <w:jc w:val="center"/>
              <w:rPr>
                <w:b/>
              </w:rPr>
            </w:pPr>
            <w:r w:rsidRPr="00B77FF8">
              <w:rPr>
                <w:b/>
              </w:rPr>
              <w:t>.001</w:t>
            </w:r>
          </w:p>
        </w:tc>
      </w:tr>
      <w:tr w:rsidR="003B55BA" w14:paraId="48A2541E" w14:textId="77777777" w:rsidTr="00F12DA1">
        <w:tc>
          <w:tcPr>
            <w:tcW w:w="4248" w:type="dxa"/>
            <w:vAlign w:val="center"/>
          </w:tcPr>
          <w:p w14:paraId="146B6DC6" w14:textId="77777777" w:rsidR="003B55BA" w:rsidRDefault="003B55BA" w:rsidP="007F7931">
            <w:r>
              <w:t>Percent of population in poverty</w:t>
            </w:r>
          </w:p>
        </w:tc>
        <w:tc>
          <w:tcPr>
            <w:tcW w:w="1710" w:type="dxa"/>
            <w:vAlign w:val="center"/>
          </w:tcPr>
          <w:p w14:paraId="785F0A2A" w14:textId="77777777" w:rsidR="003B55BA" w:rsidRPr="00F57133" w:rsidRDefault="00F57133" w:rsidP="004A10EA">
            <w:pPr>
              <w:jc w:val="center"/>
              <w:rPr>
                <w:b/>
              </w:rPr>
            </w:pPr>
            <w:r w:rsidRPr="00F57133">
              <w:rPr>
                <w:b/>
              </w:rPr>
              <w:t>-.0052</w:t>
            </w:r>
          </w:p>
        </w:tc>
        <w:tc>
          <w:tcPr>
            <w:tcW w:w="1530" w:type="dxa"/>
            <w:vAlign w:val="center"/>
          </w:tcPr>
          <w:p w14:paraId="7115D7CE" w14:textId="77777777" w:rsidR="003B55BA" w:rsidRPr="00F57133" w:rsidRDefault="00F57133" w:rsidP="004A10EA">
            <w:pPr>
              <w:jc w:val="center"/>
              <w:rPr>
                <w:b/>
              </w:rPr>
            </w:pPr>
            <w:r w:rsidRPr="00F57133">
              <w:rPr>
                <w:b/>
              </w:rPr>
              <w:t>.0025</w:t>
            </w:r>
          </w:p>
        </w:tc>
        <w:tc>
          <w:tcPr>
            <w:tcW w:w="1440" w:type="dxa"/>
            <w:vAlign w:val="center"/>
          </w:tcPr>
          <w:p w14:paraId="6E04DF10" w14:textId="77777777" w:rsidR="003B55BA" w:rsidRPr="00F57133" w:rsidRDefault="00F57133" w:rsidP="004A10EA">
            <w:pPr>
              <w:jc w:val="center"/>
              <w:rPr>
                <w:b/>
              </w:rPr>
            </w:pPr>
            <w:r w:rsidRPr="00F57133">
              <w:rPr>
                <w:b/>
              </w:rPr>
              <w:t>.036</w:t>
            </w:r>
          </w:p>
        </w:tc>
        <w:tc>
          <w:tcPr>
            <w:tcW w:w="1530" w:type="dxa"/>
            <w:vAlign w:val="center"/>
          </w:tcPr>
          <w:p w14:paraId="4BEE51F0" w14:textId="77777777" w:rsidR="003B55BA" w:rsidRPr="00546B85" w:rsidRDefault="007A343E" w:rsidP="004A10EA">
            <w:pPr>
              <w:jc w:val="center"/>
            </w:pPr>
            <w:r>
              <w:t>-</w:t>
            </w:r>
          </w:p>
        </w:tc>
        <w:tc>
          <w:tcPr>
            <w:tcW w:w="1530" w:type="dxa"/>
            <w:vAlign w:val="center"/>
          </w:tcPr>
          <w:p w14:paraId="10CA3809" w14:textId="77777777" w:rsidR="003B55BA" w:rsidRPr="00EE27A1" w:rsidRDefault="007A343E" w:rsidP="004A10EA">
            <w:pPr>
              <w:jc w:val="center"/>
            </w:pPr>
            <w:r>
              <w:t>-</w:t>
            </w:r>
          </w:p>
        </w:tc>
        <w:tc>
          <w:tcPr>
            <w:tcW w:w="1440" w:type="dxa"/>
            <w:vAlign w:val="center"/>
          </w:tcPr>
          <w:p w14:paraId="38D46E90" w14:textId="77777777" w:rsidR="003B55BA" w:rsidRPr="00EE27A1" w:rsidRDefault="007A343E" w:rsidP="004A10EA">
            <w:pPr>
              <w:jc w:val="center"/>
            </w:pPr>
            <w:r>
              <w:t>-</w:t>
            </w:r>
          </w:p>
        </w:tc>
      </w:tr>
      <w:tr w:rsidR="003B55BA" w14:paraId="4D93905E" w14:textId="77777777" w:rsidTr="00F12DA1">
        <w:tc>
          <w:tcPr>
            <w:tcW w:w="4248" w:type="dxa"/>
            <w:vAlign w:val="center"/>
          </w:tcPr>
          <w:p w14:paraId="1681D985" w14:textId="77777777" w:rsidR="003B55BA" w:rsidRDefault="003B55BA" w:rsidP="007F7931">
            <w:r>
              <w:t>MHI</w:t>
            </w:r>
          </w:p>
        </w:tc>
        <w:tc>
          <w:tcPr>
            <w:tcW w:w="1710" w:type="dxa"/>
            <w:vAlign w:val="center"/>
          </w:tcPr>
          <w:p w14:paraId="0E8275E5" w14:textId="77777777" w:rsidR="003B55BA" w:rsidRPr="00EE27A1" w:rsidRDefault="007A343E" w:rsidP="004A10EA">
            <w:pPr>
              <w:jc w:val="center"/>
            </w:pPr>
            <w:r>
              <w:t>-</w:t>
            </w:r>
          </w:p>
        </w:tc>
        <w:tc>
          <w:tcPr>
            <w:tcW w:w="1530" w:type="dxa"/>
            <w:vAlign w:val="center"/>
          </w:tcPr>
          <w:p w14:paraId="3DF19CF8" w14:textId="77777777" w:rsidR="003B55BA" w:rsidRPr="00EE27A1" w:rsidRDefault="007A343E" w:rsidP="004A10EA">
            <w:pPr>
              <w:jc w:val="center"/>
            </w:pPr>
            <w:r>
              <w:t>-</w:t>
            </w:r>
          </w:p>
        </w:tc>
        <w:tc>
          <w:tcPr>
            <w:tcW w:w="1440" w:type="dxa"/>
            <w:vAlign w:val="center"/>
          </w:tcPr>
          <w:p w14:paraId="791FBA92" w14:textId="77777777" w:rsidR="003B55BA" w:rsidRPr="00EE27A1" w:rsidRDefault="007A343E" w:rsidP="004A10EA">
            <w:pPr>
              <w:jc w:val="center"/>
            </w:pPr>
            <w:r>
              <w:t>-</w:t>
            </w:r>
          </w:p>
        </w:tc>
        <w:tc>
          <w:tcPr>
            <w:tcW w:w="1530" w:type="dxa"/>
            <w:vAlign w:val="center"/>
          </w:tcPr>
          <w:p w14:paraId="51456322" w14:textId="77777777" w:rsidR="003B55BA" w:rsidRPr="0022567A" w:rsidRDefault="00F57133" w:rsidP="004A10EA">
            <w:pPr>
              <w:jc w:val="center"/>
              <w:rPr>
                <w:b/>
              </w:rPr>
            </w:pPr>
            <w:r>
              <w:rPr>
                <w:b/>
              </w:rPr>
              <w:t>-2.76e-06</w:t>
            </w:r>
          </w:p>
        </w:tc>
        <w:tc>
          <w:tcPr>
            <w:tcW w:w="1530" w:type="dxa"/>
            <w:vAlign w:val="center"/>
          </w:tcPr>
          <w:p w14:paraId="6DF8DEFF" w14:textId="77777777" w:rsidR="003B55BA" w:rsidRPr="00B77FF8" w:rsidRDefault="00F57133" w:rsidP="004A10EA">
            <w:pPr>
              <w:jc w:val="center"/>
              <w:rPr>
                <w:b/>
              </w:rPr>
            </w:pPr>
            <w:r w:rsidRPr="00B77FF8">
              <w:rPr>
                <w:b/>
              </w:rPr>
              <w:t>5.84e-07</w:t>
            </w:r>
          </w:p>
        </w:tc>
        <w:tc>
          <w:tcPr>
            <w:tcW w:w="1440" w:type="dxa"/>
            <w:vAlign w:val="center"/>
          </w:tcPr>
          <w:p w14:paraId="7F8FE00F" w14:textId="77777777" w:rsidR="003B55BA" w:rsidRPr="00B77FF8" w:rsidRDefault="00F57133" w:rsidP="004A10EA">
            <w:pPr>
              <w:jc w:val="center"/>
              <w:rPr>
                <w:b/>
              </w:rPr>
            </w:pPr>
            <w:r w:rsidRPr="00B77FF8">
              <w:rPr>
                <w:b/>
              </w:rPr>
              <w:t>&lt; .001</w:t>
            </w:r>
          </w:p>
        </w:tc>
      </w:tr>
      <w:tr w:rsidR="00A9335A" w14:paraId="61AEA29E" w14:textId="77777777" w:rsidTr="00F12DA1">
        <w:tc>
          <w:tcPr>
            <w:tcW w:w="4248" w:type="dxa"/>
            <w:vAlign w:val="center"/>
          </w:tcPr>
          <w:p w14:paraId="311635CC" w14:textId="77777777" w:rsidR="00A9335A" w:rsidRDefault="003B55BA" w:rsidP="004A10EA">
            <w:r>
              <w:t>SMI</w:t>
            </w:r>
          </w:p>
        </w:tc>
        <w:tc>
          <w:tcPr>
            <w:tcW w:w="1710" w:type="dxa"/>
            <w:vAlign w:val="center"/>
          </w:tcPr>
          <w:p w14:paraId="3C1AB02C" w14:textId="77777777" w:rsidR="00A9335A" w:rsidRPr="00F57133" w:rsidRDefault="00F57133" w:rsidP="004A10EA">
            <w:pPr>
              <w:jc w:val="center"/>
              <w:rPr>
                <w:b/>
              </w:rPr>
            </w:pPr>
            <w:r w:rsidRPr="00F57133">
              <w:rPr>
                <w:b/>
              </w:rPr>
              <w:t>-.0020</w:t>
            </w:r>
          </w:p>
        </w:tc>
        <w:tc>
          <w:tcPr>
            <w:tcW w:w="1530" w:type="dxa"/>
            <w:vAlign w:val="center"/>
          </w:tcPr>
          <w:p w14:paraId="66E55263" w14:textId="77777777" w:rsidR="00A9335A" w:rsidRPr="00F57133" w:rsidRDefault="00F57133" w:rsidP="004A10EA">
            <w:pPr>
              <w:jc w:val="center"/>
              <w:rPr>
                <w:b/>
              </w:rPr>
            </w:pPr>
            <w:r w:rsidRPr="00F57133">
              <w:rPr>
                <w:b/>
              </w:rPr>
              <w:t>.0004</w:t>
            </w:r>
          </w:p>
        </w:tc>
        <w:tc>
          <w:tcPr>
            <w:tcW w:w="1440" w:type="dxa"/>
            <w:vAlign w:val="center"/>
          </w:tcPr>
          <w:p w14:paraId="069687F8" w14:textId="77777777" w:rsidR="00A9335A" w:rsidRPr="00F57133" w:rsidRDefault="00F57133" w:rsidP="004A10EA">
            <w:pPr>
              <w:jc w:val="center"/>
              <w:rPr>
                <w:b/>
              </w:rPr>
            </w:pPr>
            <w:r w:rsidRPr="00F57133">
              <w:rPr>
                <w:b/>
              </w:rPr>
              <w:t>&lt; .001</w:t>
            </w:r>
          </w:p>
        </w:tc>
        <w:tc>
          <w:tcPr>
            <w:tcW w:w="1530" w:type="dxa"/>
            <w:vAlign w:val="center"/>
          </w:tcPr>
          <w:p w14:paraId="57EAED10" w14:textId="77777777" w:rsidR="00A9335A" w:rsidRPr="00F57133" w:rsidRDefault="00F57133" w:rsidP="004A10EA">
            <w:pPr>
              <w:jc w:val="center"/>
              <w:rPr>
                <w:b/>
              </w:rPr>
            </w:pPr>
            <w:r w:rsidRPr="00F57133">
              <w:rPr>
                <w:b/>
              </w:rPr>
              <w:t>-.0013</w:t>
            </w:r>
          </w:p>
        </w:tc>
        <w:tc>
          <w:tcPr>
            <w:tcW w:w="1530" w:type="dxa"/>
            <w:vAlign w:val="center"/>
          </w:tcPr>
          <w:p w14:paraId="6A9572F3" w14:textId="77777777" w:rsidR="00A9335A" w:rsidRPr="00F57133" w:rsidRDefault="00F57133" w:rsidP="004A10EA">
            <w:pPr>
              <w:jc w:val="center"/>
              <w:rPr>
                <w:b/>
              </w:rPr>
            </w:pPr>
            <w:r w:rsidRPr="00F57133">
              <w:rPr>
                <w:b/>
              </w:rPr>
              <w:t>.0004</w:t>
            </w:r>
          </w:p>
        </w:tc>
        <w:tc>
          <w:tcPr>
            <w:tcW w:w="1440" w:type="dxa"/>
            <w:vAlign w:val="center"/>
          </w:tcPr>
          <w:p w14:paraId="0267C2F3" w14:textId="77777777" w:rsidR="00A9335A" w:rsidRPr="00F57133" w:rsidRDefault="00F57133" w:rsidP="004A10EA">
            <w:pPr>
              <w:jc w:val="center"/>
              <w:rPr>
                <w:b/>
              </w:rPr>
            </w:pPr>
            <w:r w:rsidRPr="00F57133">
              <w:rPr>
                <w:b/>
              </w:rPr>
              <w:t>.001</w:t>
            </w:r>
          </w:p>
        </w:tc>
      </w:tr>
      <w:tr w:rsidR="00A9335A" w14:paraId="347CA4E8" w14:textId="77777777" w:rsidTr="00F12DA1">
        <w:tc>
          <w:tcPr>
            <w:tcW w:w="4248" w:type="dxa"/>
            <w:vAlign w:val="center"/>
          </w:tcPr>
          <w:p w14:paraId="03A1660A" w14:textId="77777777" w:rsidR="00A9335A" w:rsidRDefault="00A9335A" w:rsidP="004A10EA">
            <w:r>
              <w:t>Constant</w:t>
            </w:r>
          </w:p>
        </w:tc>
        <w:tc>
          <w:tcPr>
            <w:tcW w:w="1710" w:type="dxa"/>
            <w:vAlign w:val="center"/>
          </w:tcPr>
          <w:p w14:paraId="61D4418E" w14:textId="77777777" w:rsidR="00A9335A" w:rsidRPr="00F57133" w:rsidRDefault="00F57133" w:rsidP="004A10EA">
            <w:pPr>
              <w:jc w:val="center"/>
              <w:rPr>
                <w:b/>
              </w:rPr>
            </w:pPr>
            <w:r w:rsidRPr="00F57133">
              <w:rPr>
                <w:b/>
              </w:rPr>
              <w:t>.1769</w:t>
            </w:r>
          </w:p>
        </w:tc>
        <w:tc>
          <w:tcPr>
            <w:tcW w:w="1530" w:type="dxa"/>
            <w:vAlign w:val="center"/>
          </w:tcPr>
          <w:p w14:paraId="26E3E012" w14:textId="77777777" w:rsidR="00A9335A" w:rsidRPr="00F57133" w:rsidRDefault="00F57133" w:rsidP="004A10EA">
            <w:pPr>
              <w:jc w:val="center"/>
              <w:rPr>
                <w:b/>
              </w:rPr>
            </w:pPr>
            <w:r w:rsidRPr="00F57133">
              <w:rPr>
                <w:b/>
              </w:rPr>
              <w:t>.0375</w:t>
            </w:r>
          </w:p>
        </w:tc>
        <w:tc>
          <w:tcPr>
            <w:tcW w:w="1440" w:type="dxa"/>
            <w:vAlign w:val="center"/>
          </w:tcPr>
          <w:p w14:paraId="0F17D335" w14:textId="77777777" w:rsidR="00A9335A" w:rsidRPr="00F57133" w:rsidRDefault="00F57133" w:rsidP="004A10EA">
            <w:pPr>
              <w:jc w:val="center"/>
              <w:rPr>
                <w:b/>
              </w:rPr>
            </w:pPr>
            <w:r w:rsidRPr="00F57133">
              <w:rPr>
                <w:b/>
              </w:rPr>
              <w:t>&lt; .001</w:t>
            </w:r>
          </w:p>
        </w:tc>
        <w:tc>
          <w:tcPr>
            <w:tcW w:w="1530" w:type="dxa"/>
            <w:vAlign w:val="center"/>
          </w:tcPr>
          <w:p w14:paraId="200E425E" w14:textId="77777777" w:rsidR="00A9335A" w:rsidRPr="00F57133" w:rsidRDefault="00F57133" w:rsidP="004A10EA">
            <w:pPr>
              <w:jc w:val="center"/>
              <w:rPr>
                <w:b/>
              </w:rPr>
            </w:pPr>
            <w:r w:rsidRPr="00F57133">
              <w:rPr>
                <w:b/>
              </w:rPr>
              <w:t>.4467</w:t>
            </w:r>
          </w:p>
        </w:tc>
        <w:tc>
          <w:tcPr>
            <w:tcW w:w="1530" w:type="dxa"/>
            <w:vAlign w:val="center"/>
          </w:tcPr>
          <w:p w14:paraId="5E14C6C5" w14:textId="77777777" w:rsidR="00A9335A" w:rsidRPr="00F57133" w:rsidRDefault="00F57133" w:rsidP="004A10EA">
            <w:pPr>
              <w:jc w:val="center"/>
              <w:rPr>
                <w:b/>
              </w:rPr>
            </w:pPr>
            <w:r w:rsidRPr="00F57133">
              <w:rPr>
                <w:b/>
              </w:rPr>
              <w:t>.0525</w:t>
            </w:r>
          </w:p>
        </w:tc>
        <w:tc>
          <w:tcPr>
            <w:tcW w:w="1440" w:type="dxa"/>
            <w:vAlign w:val="center"/>
          </w:tcPr>
          <w:p w14:paraId="5E1A5D5D" w14:textId="77777777" w:rsidR="00A9335A" w:rsidRPr="00F57133" w:rsidRDefault="00F57133" w:rsidP="004A10EA">
            <w:pPr>
              <w:jc w:val="center"/>
              <w:rPr>
                <w:b/>
              </w:rPr>
            </w:pPr>
            <w:r w:rsidRPr="00F57133">
              <w:rPr>
                <w:b/>
              </w:rPr>
              <w:t>&lt; .001</w:t>
            </w:r>
          </w:p>
        </w:tc>
      </w:tr>
    </w:tbl>
    <w:p w14:paraId="2CCF363E" w14:textId="77777777" w:rsidR="00A9335A" w:rsidRDefault="00A9335A" w:rsidP="00A9335A">
      <w:pPr>
        <w:spacing w:before="200" w:after="0"/>
      </w:pPr>
      <w:r>
        <w:t xml:space="preserve">Note: Tobit regression controlling for clustering of values by county and year. N = </w:t>
      </w:r>
      <w:r w:rsidR="00F12DA1">
        <w:t>45</w:t>
      </w:r>
      <w:r>
        <w:t>.</w:t>
      </w:r>
      <w:r w:rsidRPr="00A9335A">
        <w:t xml:space="preserve"> </w:t>
      </w:r>
      <w:r>
        <w:t xml:space="preserve">Parameters significant at the .05 level are in </w:t>
      </w:r>
      <w:r w:rsidRPr="00761EB9">
        <w:rPr>
          <w:b/>
        </w:rPr>
        <w:t>bold</w:t>
      </w:r>
      <w:r>
        <w:t xml:space="preserve">.  </w:t>
      </w:r>
    </w:p>
    <w:p w14:paraId="2460B9D3" w14:textId="77777777" w:rsidR="00D00B5D" w:rsidRDefault="00D00B5D" w:rsidP="00D00B5D">
      <w:r>
        <w:br w:type="page"/>
      </w:r>
    </w:p>
    <w:p w14:paraId="2DC58A34" w14:textId="77777777" w:rsidR="00F12DA1" w:rsidRDefault="00F12DA1" w:rsidP="00F12DA1">
      <w:pPr>
        <w:spacing w:after="0"/>
      </w:pPr>
      <w:r>
        <w:rPr>
          <w:b/>
        </w:rPr>
        <w:lastRenderedPageBreak/>
        <w:t>III.</w:t>
      </w:r>
      <w:r w:rsidR="007A343E">
        <w:rPr>
          <w:b/>
        </w:rPr>
        <w:t>4c</w:t>
      </w:r>
      <w:r>
        <w:rPr>
          <w:b/>
        </w:rPr>
        <w:t xml:space="preserve">. </w:t>
      </w:r>
      <w:r w:rsidRPr="00E52C9F">
        <w:rPr>
          <w:b/>
        </w:rPr>
        <w:t xml:space="preserve">Dependent variable: </w:t>
      </w:r>
      <w:r>
        <w:rPr>
          <w:b/>
        </w:rPr>
        <w:t>Access to treatment</w:t>
      </w:r>
    </w:p>
    <w:tbl>
      <w:tblPr>
        <w:tblStyle w:val="TableGrid"/>
        <w:tblW w:w="13454" w:type="dxa"/>
        <w:tblLook w:val="04A0" w:firstRow="1" w:lastRow="0" w:firstColumn="1" w:lastColumn="0" w:noHBand="0" w:noVBand="1"/>
      </w:tblPr>
      <w:tblGrid>
        <w:gridCol w:w="4248"/>
        <w:gridCol w:w="1710"/>
        <w:gridCol w:w="1530"/>
        <w:gridCol w:w="1440"/>
        <w:gridCol w:w="1530"/>
        <w:gridCol w:w="1530"/>
        <w:gridCol w:w="1466"/>
      </w:tblGrid>
      <w:tr w:rsidR="00F12DA1" w14:paraId="4342907F" w14:textId="77777777" w:rsidTr="007F7931">
        <w:tc>
          <w:tcPr>
            <w:tcW w:w="4248" w:type="dxa"/>
            <w:vAlign w:val="center"/>
          </w:tcPr>
          <w:p w14:paraId="0E53A95C" w14:textId="77777777" w:rsidR="00F12DA1" w:rsidRPr="00E52C9F" w:rsidRDefault="00F12DA1" w:rsidP="007F7931">
            <w:pPr>
              <w:jc w:val="center"/>
              <w:rPr>
                <w:b/>
              </w:rPr>
            </w:pPr>
            <w:r w:rsidRPr="00E52C9F">
              <w:rPr>
                <w:b/>
              </w:rPr>
              <w:t>Ind. variables</w:t>
            </w:r>
          </w:p>
        </w:tc>
        <w:tc>
          <w:tcPr>
            <w:tcW w:w="1710" w:type="dxa"/>
            <w:vAlign w:val="center"/>
          </w:tcPr>
          <w:p w14:paraId="3A94F84D" w14:textId="77777777" w:rsidR="00F12DA1" w:rsidRPr="00E52C9F" w:rsidRDefault="00F12DA1" w:rsidP="007F7931">
            <w:pPr>
              <w:jc w:val="center"/>
              <w:rPr>
                <w:b/>
              </w:rPr>
            </w:pPr>
            <w:r w:rsidRPr="00E52C9F">
              <w:rPr>
                <w:b/>
              </w:rPr>
              <w:t>Coefficient</w:t>
            </w:r>
          </w:p>
        </w:tc>
        <w:tc>
          <w:tcPr>
            <w:tcW w:w="1530" w:type="dxa"/>
            <w:vAlign w:val="center"/>
          </w:tcPr>
          <w:p w14:paraId="00067F90" w14:textId="77777777" w:rsidR="00F12DA1" w:rsidRPr="00E52C9F" w:rsidRDefault="00F12DA1" w:rsidP="007F7931">
            <w:pPr>
              <w:jc w:val="center"/>
              <w:rPr>
                <w:b/>
              </w:rPr>
            </w:pPr>
            <w:r>
              <w:rPr>
                <w:b/>
              </w:rPr>
              <w:t>Std. error</w:t>
            </w:r>
          </w:p>
        </w:tc>
        <w:tc>
          <w:tcPr>
            <w:tcW w:w="1440" w:type="dxa"/>
            <w:vAlign w:val="center"/>
          </w:tcPr>
          <w:p w14:paraId="145865C5" w14:textId="77777777" w:rsidR="00F12DA1" w:rsidRPr="00E52C9F" w:rsidRDefault="00F12DA1" w:rsidP="007F7931">
            <w:pPr>
              <w:jc w:val="center"/>
              <w:rPr>
                <w:b/>
              </w:rPr>
            </w:pPr>
            <w:r>
              <w:rPr>
                <w:b/>
              </w:rPr>
              <w:t>P-value</w:t>
            </w:r>
          </w:p>
        </w:tc>
        <w:tc>
          <w:tcPr>
            <w:tcW w:w="1530" w:type="dxa"/>
            <w:vAlign w:val="center"/>
          </w:tcPr>
          <w:p w14:paraId="1E4501B9" w14:textId="77777777" w:rsidR="00F12DA1" w:rsidRPr="00E52C9F" w:rsidRDefault="00F12DA1" w:rsidP="007F7931">
            <w:pPr>
              <w:jc w:val="center"/>
              <w:rPr>
                <w:b/>
              </w:rPr>
            </w:pPr>
            <w:r w:rsidRPr="00E52C9F">
              <w:rPr>
                <w:b/>
              </w:rPr>
              <w:t>Coefficient</w:t>
            </w:r>
          </w:p>
        </w:tc>
        <w:tc>
          <w:tcPr>
            <w:tcW w:w="1530" w:type="dxa"/>
            <w:vAlign w:val="center"/>
          </w:tcPr>
          <w:p w14:paraId="585FDE75" w14:textId="77777777" w:rsidR="00F12DA1" w:rsidRPr="00E52C9F" w:rsidRDefault="00F12DA1" w:rsidP="007F7931">
            <w:pPr>
              <w:jc w:val="center"/>
              <w:rPr>
                <w:b/>
              </w:rPr>
            </w:pPr>
            <w:r>
              <w:rPr>
                <w:b/>
              </w:rPr>
              <w:t>Std. error</w:t>
            </w:r>
          </w:p>
        </w:tc>
        <w:tc>
          <w:tcPr>
            <w:tcW w:w="1466" w:type="dxa"/>
            <w:vAlign w:val="center"/>
          </w:tcPr>
          <w:p w14:paraId="70E6045E" w14:textId="77777777" w:rsidR="00F12DA1" w:rsidRPr="00E52C9F" w:rsidRDefault="00F12DA1" w:rsidP="007F7931">
            <w:pPr>
              <w:jc w:val="center"/>
              <w:rPr>
                <w:b/>
              </w:rPr>
            </w:pPr>
            <w:r>
              <w:rPr>
                <w:b/>
              </w:rPr>
              <w:t>P-value</w:t>
            </w:r>
          </w:p>
        </w:tc>
      </w:tr>
      <w:tr w:rsidR="00F12DA1" w14:paraId="77BAFF5E" w14:textId="77777777" w:rsidTr="007F7931">
        <w:tc>
          <w:tcPr>
            <w:tcW w:w="4248" w:type="dxa"/>
            <w:vAlign w:val="center"/>
          </w:tcPr>
          <w:p w14:paraId="6BAE25D6" w14:textId="77777777" w:rsidR="00F12DA1" w:rsidRDefault="00F12DA1" w:rsidP="007F7931">
            <w:r>
              <w:t>Number of waivered prescribers per 10,000 pop.</w:t>
            </w:r>
          </w:p>
        </w:tc>
        <w:tc>
          <w:tcPr>
            <w:tcW w:w="1710" w:type="dxa"/>
            <w:vAlign w:val="center"/>
          </w:tcPr>
          <w:p w14:paraId="12EE6A72" w14:textId="77777777" w:rsidR="00F12DA1" w:rsidRPr="00EC2603" w:rsidRDefault="00EC2603" w:rsidP="007F7931">
            <w:pPr>
              <w:jc w:val="center"/>
              <w:rPr>
                <w:b/>
              </w:rPr>
            </w:pPr>
            <w:r w:rsidRPr="00EC2603">
              <w:rPr>
                <w:b/>
              </w:rPr>
              <w:t>-.0071</w:t>
            </w:r>
          </w:p>
        </w:tc>
        <w:tc>
          <w:tcPr>
            <w:tcW w:w="1530" w:type="dxa"/>
            <w:vAlign w:val="center"/>
          </w:tcPr>
          <w:p w14:paraId="5F7659E0" w14:textId="77777777" w:rsidR="00F12DA1" w:rsidRPr="00EC2603" w:rsidRDefault="00EC2603" w:rsidP="007F7931">
            <w:pPr>
              <w:jc w:val="center"/>
              <w:rPr>
                <w:b/>
              </w:rPr>
            </w:pPr>
            <w:r w:rsidRPr="00EC2603">
              <w:rPr>
                <w:b/>
              </w:rPr>
              <w:t>.0035</w:t>
            </w:r>
          </w:p>
        </w:tc>
        <w:tc>
          <w:tcPr>
            <w:tcW w:w="1440" w:type="dxa"/>
            <w:vAlign w:val="center"/>
          </w:tcPr>
          <w:p w14:paraId="5A62C4A2" w14:textId="77777777" w:rsidR="00F12DA1" w:rsidRPr="00EC2603" w:rsidRDefault="00EC2603" w:rsidP="007F7931">
            <w:pPr>
              <w:jc w:val="center"/>
              <w:rPr>
                <w:b/>
              </w:rPr>
            </w:pPr>
            <w:r w:rsidRPr="00EC2603">
              <w:rPr>
                <w:b/>
              </w:rPr>
              <w:t>.045</w:t>
            </w:r>
          </w:p>
        </w:tc>
        <w:tc>
          <w:tcPr>
            <w:tcW w:w="1530" w:type="dxa"/>
            <w:vAlign w:val="center"/>
          </w:tcPr>
          <w:p w14:paraId="1A1E6806" w14:textId="77777777" w:rsidR="00F12DA1" w:rsidRPr="00EC2603" w:rsidRDefault="00EC2603" w:rsidP="007F7931">
            <w:pPr>
              <w:jc w:val="center"/>
              <w:rPr>
                <w:b/>
              </w:rPr>
            </w:pPr>
            <w:r w:rsidRPr="00EC2603">
              <w:rPr>
                <w:b/>
              </w:rPr>
              <w:t>-.0067</w:t>
            </w:r>
          </w:p>
        </w:tc>
        <w:tc>
          <w:tcPr>
            <w:tcW w:w="1530" w:type="dxa"/>
            <w:vAlign w:val="center"/>
          </w:tcPr>
          <w:p w14:paraId="1B897A9C" w14:textId="77777777" w:rsidR="00F12DA1" w:rsidRPr="00EC2603" w:rsidRDefault="00EC2603" w:rsidP="007F7931">
            <w:pPr>
              <w:jc w:val="center"/>
              <w:rPr>
                <w:b/>
              </w:rPr>
            </w:pPr>
            <w:r w:rsidRPr="00EC2603">
              <w:rPr>
                <w:b/>
              </w:rPr>
              <w:t>.0033</w:t>
            </w:r>
          </w:p>
        </w:tc>
        <w:tc>
          <w:tcPr>
            <w:tcW w:w="1466" w:type="dxa"/>
            <w:vAlign w:val="center"/>
          </w:tcPr>
          <w:p w14:paraId="043170A4" w14:textId="77777777" w:rsidR="00F12DA1" w:rsidRPr="00EC2603" w:rsidRDefault="00EC2603" w:rsidP="007F7931">
            <w:pPr>
              <w:jc w:val="center"/>
              <w:rPr>
                <w:b/>
              </w:rPr>
            </w:pPr>
            <w:r w:rsidRPr="00EC2603">
              <w:rPr>
                <w:b/>
              </w:rPr>
              <w:t>.046</w:t>
            </w:r>
          </w:p>
        </w:tc>
      </w:tr>
      <w:tr w:rsidR="00F12DA1" w14:paraId="1F9AA826" w14:textId="77777777" w:rsidTr="007F7931">
        <w:tc>
          <w:tcPr>
            <w:tcW w:w="4248" w:type="dxa"/>
            <w:vAlign w:val="center"/>
          </w:tcPr>
          <w:p w14:paraId="5BE3B767" w14:textId="77777777" w:rsidR="00F12DA1" w:rsidRDefault="00F12DA1" w:rsidP="007F7931">
            <w:r>
              <w:t>OD death rate, lagged 1 year</w:t>
            </w:r>
          </w:p>
        </w:tc>
        <w:tc>
          <w:tcPr>
            <w:tcW w:w="1710" w:type="dxa"/>
            <w:vAlign w:val="center"/>
          </w:tcPr>
          <w:p w14:paraId="49FFC6CE" w14:textId="77777777" w:rsidR="00F12DA1" w:rsidRPr="00EE27A1" w:rsidRDefault="00EC2603" w:rsidP="007F7931">
            <w:pPr>
              <w:jc w:val="center"/>
            </w:pPr>
            <w:r>
              <w:t>.0002</w:t>
            </w:r>
          </w:p>
        </w:tc>
        <w:tc>
          <w:tcPr>
            <w:tcW w:w="1530" w:type="dxa"/>
            <w:vAlign w:val="center"/>
          </w:tcPr>
          <w:p w14:paraId="747AA540" w14:textId="77777777" w:rsidR="00F12DA1" w:rsidRPr="00EE27A1" w:rsidRDefault="00EC2603" w:rsidP="007F7931">
            <w:pPr>
              <w:jc w:val="center"/>
            </w:pPr>
            <w:r>
              <w:t>.0009</w:t>
            </w:r>
          </w:p>
        </w:tc>
        <w:tc>
          <w:tcPr>
            <w:tcW w:w="1440" w:type="dxa"/>
            <w:vAlign w:val="center"/>
          </w:tcPr>
          <w:p w14:paraId="20226EFB" w14:textId="77777777" w:rsidR="00F12DA1" w:rsidRPr="00EE27A1" w:rsidRDefault="00EC2603" w:rsidP="007F7931">
            <w:pPr>
              <w:jc w:val="center"/>
            </w:pPr>
            <w:r>
              <w:t>.821</w:t>
            </w:r>
          </w:p>
        </w:tc>
        <w:tc>
          <w:tcPr>
            <w:tcW w:w="1530" w:type="dxa"/>
            <w:vAlign w:val="center"/>
          </w:tcPr>
          <w:p w14:paraId="640847DB" w14:textId="77777777" w:rsidR="00F12DA1" w:rsidRPr="00EE27A1" w:rsidRDefault="00EC2603" w:rsidP="007F7931">
            <w:pPr>
              <w:jc w:val="center"/>
            </w:pPr>
            <w:r>
              <w:t>.0002</w:t>
            </w:r>
          </w:p>
        </w:tc>
        <w:tc>
          <w:tcPr>
            <w:tcW w:w="1530" w:type="dxa"/>
            <w:vAlign w:val="center"/>
          </w:tcPr>
          <w:p w14:paraId="2CB99100" w14:textId="77777777" w:rsidR="00F12DA1" w:rsidRPr="00EE27A1" w:rsidRDefault="00EC2603" w:rsidP="007F7931">
            <w:pPr>
              <w:jc w:val="center"/>
            </w:pPr>
            <w:r>
              <w:t>.0009</w:t>
            </w:r>
          </w:p>
        </w:tc>
        <w:tc>
          <w:tcPr>
            <w:tcW w:w="1466" w:type="dxa"/>
            <w:vAlign w:val="center"/>
          </w:tcPr>
          <w:p w14:paraId="65FC6AD0" w14:textId="77777777" w:rsidR="00F12DA1" w:rsidRPr="00EE27A1" w:rsidRDefault="00EC2603" w:rsidP="007F7931">
            <w:pPr>
              <w:jc w:val="center"/>
            </w:pPr>
            <w:r>
              <w:t>.827</w:t>
            </w:r>
          </w:p>
        </w:tc>
      </w:tr>
      <w:tr w:rsidR="00F12DA1" w14:paraId="4760481A" w14:textId="77777777" w:rsidTr="007F7931">
        <w:tc>
          <w:tcPr>
            <w:tcW w:w="4248" w:type="dxa"/>
            <w:vAlign w:val="center"/>
          </w:tcPr>
          <w:p w14:paraId="0B317394" w14:textId="77777777" w:rsidR="00F12DA1" w:rsidRDefault="00F12DA1" w:rsidP="007F7931">
            <w:r>
              <w:t>Methadone clinics per 100,000 pop.</w:t>
            </w:r>
          </w:p>
        </w:tc>
        <w:tc>
          <w:tcPr>
            <w:tcW w:w="1710" w:type="dxa"/>
            <w:vAlign w:val="center"/>
          </w:tcPr>
          <w:p w14:paraId="032BA9F8" w14:textId="77777777" w:rsidR="00F12DA1" w:rsidRDefault="00EC2603" w:rsidP="007F7931">
            <w:pPr>
              <w:jc w:val="center"/>
            </w:pPr>
            <w:r>
              <w:t>-.0265</w:t>
            </w:r>
          </w:p>
        </w:tc>
        <w:tc>
          <w:tcPr>
            <w:tcW w:w="1530" w:type="dxa"/>
            <w:vAlign w:val="center"/>
          </w:tcPr>
          <w:p w14:paraId="3D244139" w14:textId="77777777" w:rsidR="00F12DA1" w:rsidRDefault="00EC2603" w:rsidP="007F7931">
            <w:pPr>
              <w:jc w:val="center"/>
            </w:pPr>
            <w:r>
              <w:t>.0180</w:t>
            </w:r>
          </w:p>
        </w:tc>
        <w:tc>
          <w:tcPr>
            <w:tcW w:w="1440" w:type="dxa"/>
            <w:vAlign w:val="center"/>
          </w:tcPr>
          <w:p w14:paraId="32E6EF0B" w14:textId="77777777" w:rsidR="00F12DA1" w:rsidRDefault="00EC2603" w:rsidP="007F7931">
            <w:pPr>
              <w:jc w:val="center"/>
            </w:pPr>
            <w:r>
              <w:t>.141</w:t>
            </w:r>
          </w:p>
        </w:tc>
        <w:tc>
          <w:tcPr>
            <w:tcW w:w="1530" w:type="dxa"/>
            <w:vAlign w:val="center"/>
          </w:tcPr>
          <w:p w14:paraId="606D407A" w14:textId="77777777" w:rsidR="00F12DA1" w:rsidRPr="00EC2603" w:rsidRDefault="00EC2603" w:rsidP="007F7931">
            <w:pPr>
              <w:jc w:val="center"/>
              <w:rPr>
                <w:b/>
              </w:rPr>
            </w:pPr>
            <w:r w:rsidRPr="00EC2603">
              <w:rPr>
                <w:b/>
              </w:rPr>
              <w:t>-.0823</w:t>
            </w:r>
          </w:p>
        </w:tc>
        <w:tc>
          <w:tcPr>
            <w:tcW w:w="1530" w:type="dxa"/>
            <w:vAlign w:val="center"/>
          </w:tcPr>
          <w:p w14:paraId="5A4F6D19" w14:textId="77777777" w:rsidR="00F12DA1" w:rsidRPr="00EC2603" w:rsidRDefault="00EC2603" w:rsidP="007F7931">
            <w:pPr>
              <w:jc w:val="center"/>
              <w:rPr>
                <w:b/>
              </w:rPr>
            </w:pPr>
            <w:r w:rsidRPr="00EC2603">
              <w:rPr>
                <w:b/>
              </w:rPr>
              <w:t>.0229</w:t>
            </w:r>
          </w:p>
        </w:tc>
        <w:tc>
          <w:tcPr>
            <w:tcW w:w="1466" w:type="dxa"/>
            <w:vAlign w:val="center"/>
          </w:tcPr>
          <w:p w14:paraId="34193DB0" w14:textId="77777777" w:rsidR="00F12DA1" w:rsidRPr="00EC2603" w:rsidRDefault="00EC2603" w:rsidP="007F7931">
            <w:pPr>
              <w:jc w:val="center"/>
              <w:rPr>
                <w:b/>
              </w:rPr>
            </w:pPr>
            <w:r w:rsidRPr="00EC2603">
              <w:rPr>
                <w:b/>
              </w:rPr>
              <w:t>&lt; .001</w:t>
            </w:r>
          </w:p>
        </w:tc>
      </w:tr>
      <w:tr w:rsidR="003B55BA" w14:paraId="34003B8D" w14:textId="77777777" w:rsidTr="007F7931">
        <w:tc>
          <w:tcPr>
            <w:tcW w:w="4248" w:type="dxa"/>
            <w:vAlign w:val="center"/>
          </w:tcPr>
          <w:p w14:paraId="53BAEC01" w14:textId="77777777" w:rsidR="003B55BA" w:rsidRDefault="003B55BA" w:rsidP="007F7931">
            <w:r>
              <w:t>Percent of population in poverty</w:t>
            </w:r>
          </w:p>
        </w:tc>
        <w:tc>
          <w:tcPr>
            <w:tcW w:w="1710" w:type="dxa"/>
            <w:vAlign w:val="center"/>
          </w:tcPr>
          <w:p w14:paraId="44FCC50B" w14:textId="77777777" w:rsidR="003B55BA" w:rsidRPr="00546B85" w:rsidRDefault="00EC2603" w:rsidP="007F7931">
            <w:pPr>
              <w:jc w:val="center"/>
            </w:pPr>
            <w:r>
              <w:t>.0031</w:t>
            </w:r>
          </w:p>
        </w:tc>
        <w:tc>
          <w:tcPr>
            <w:tcW w:w="1530" w:type="dxa"/>
            <w:vAlign w:val="center"/>
          </w:tcPr>
          <w:p w14:paraId="3020194E" w14:textId="77777777" w:rsidR="003B55BA" w:rsidRPr="00546B85" w:rsidRDefault="00EC2603" w:rsidP="007F7931">
            <w:pPr>
              <w:jc w:val="center"/>
            </w:pPr>
            <w:r>
              <w:t>.0029</w:t>
            </w:r>
          </w:p>
        </w:tc>
        <w:tc>
          <w:tcPr>
            <w:tcW w:w="1440" w:type="dxa"/>
            <w:vAlign w:val="center"/>
          </w:tcPr>
          <w:p w14:paraId="5A7784CD" w14:textId="77777777" w:rsidR="003B55BA" w:rsidRPr="00546B85" w:rsidRDefault="00EC2603" w:rsidP="007F7931">
            <w:pPr>
              <w:jc w:val="center"/>
            </w:pPr>
            <w:r>
              <w:t>.294</w:t>
            </w:r>
          </w:p>
        </w:tc>
        <w:tc>
          <w:tcPr>
            <w:tcW w:w="1530" w:type="dxa"/>
            <w:vAlign w:val="center"/>
          </w:tcPr>
          <w:p w14:paraId="362E808B" w14:textId="77777777" w:rsidR="003B55BA" w:rsidRPr="00546B85" w:rsidRDefault="007A343E" w:rsidP="007F7931">
            <w:pPr>
              <w:jc w:val="center"/>
            </w:pPr>
            <w:r>
              <w:t>-</w:t>
            </w:r>
          </w:p>
        </w:tc>
        <w:tc>
          <w:tcPr>
            <w:tcW w:w="1530" w:type="dxa"/>
            <w:vAlign w:val="center"/>
          </w:tcPr>
          <w:p w14:paraId="310626B2" w14:textId="77777777" w:rsidR="003B55BA" w:rsidRPr="00EE27A1" w:rsidRDefault="007A343E" w:rsidP="007F7931">
            <w:pPr>
              <w:jc w:val="center"/>
            </w:pPr>
            <w:r>
              <w:t>-</w:t>
            </w:r>
          </w:p>
        </w:tc>
        <w:tc>
          <w:tcPr>
            <w:tcW w:w="1466" w:type="dxa"/>
            <w:vAlign w:val="center"/>
          </w:tcPr>
          <w:p w14:paraId="5407381B" w14:textId="77777777" w:rsidR="003B55BA" w:rsidRPr="00EE27A1" w:rsidRDefault="007A343E" w:rsidP="007F7931">
            <w:pPr>
              <w:jc w:val="center"/>
            </w:pPr>
            <w:r>
              <w:t>-</w:t>
            </w:r>
          </w:p>
        </w:tc>
      </w:tr>
      <w:tr w:rsidR="003B55BA" w14:paraId="34C2777C" w14:textId="77777777" w:rsidTr="007F7931">
        <w:tc>
          <w:tcPr>
            <w:tcW w:w="4248" w:type="dxa"/>
            <w:vAlign w:val="center"/>
          </w:tcPr>
          <w:p w14:paraId="07F95E9A" w14:textId="77777777" w:rsidR="003B55BA" w:rsidRDefault="003B55BA" w:rsidP="007F7931">
            <w:r>
              <w:t>MHI</w:t>
            </w:r>
          </w:p>
        </w:tc>
        <w:tc>
          <w:tcPr>
            <w:tcW w:w="1710" w:type="dxa"/>
            <w:vAlign w:val="center"/>
          </w:tcPr>
          <w:p w14:paraId="04AEED46" w14:textId="77777777" w:rsidR="003B55BA" w:rsidRPr="00EE27A1" w:rsidRDefault="007A343E" w:rsidP="007F7931">
            <w:pPr>
              <w:jc w:val="center"/>
            </w:pPr>
            <w:r>
              <w:t>-</w:t>
            </w:r>
          </w:p>
        </w:tc>
        <w:tc>
          <w:tcPr>
            <w:tcW w:w="1530" w:type="dxa"/>
            <w:vAlign w:val="center"/>
          </w:tcPr>
          <w:p w14:paraId="45D15A2A" w14:textId="77777777" w:rsidR="003B55BA" w:rsidRPr="00EE27A1" w:rsidRDefault="007A343E" w:rsidP="007F7931">
            <w:pPr>
              <w:jc w:val="center"/>
            </w:pPr>
            <w:r>
              <w:t>-</w:t>
            </w:r>
          </w:p>
        </w:tc>
        <w:tc>
          <w:tcPr>
            <w:tcW w:w="1440" w:type="dxa"/>
            <w:vAlign w:val="center"/>
          </w:tcPr>
          <w:p w14:paraId="0B7CDEE5" w14:textId="77777777" w:rsidR="003B55BA" w:rsidRPr="00EE27A1" w:rsidRDefault="007A343E" w:rsidP="007F7931">
            <w:pPr>
              <w:jc w:val="center"/>
            </w:pPr>
            <w:r>
              <w:t>-</w:t>
            </w:r>
          </w:p>
        </w:tc>
        <w:tc>
          <w:tcPr>
            <w:tcW w:w="1530" w:type="dxa"/>
            <w:vAlign w:val="center"/>
          </w:tcPr>
          <w:p w14:paraId="507F9E4E" w14:textId="77777777" w:rsidR="003B55BA" w:rsidRPr="0022567A" w:rsidRDefault="00EC2603" w:rsidP="007F7931">
            <w:pPr>
              <w:jc w:val="center"/>
              <w:rPr>
                <w:b/>
              </w:rPr>
            </w:pPr>
            <w:r>
              <w:rPr>
                <w:b/>
              </w:rPr>
              <w:t>-2.81e-06</w:t>
            </w:r>
          </w:p>
        </w:tc>
        <w:tc>
          <w:tcPr>
            <w:tcW w:w="1530" w:type="dxa"/>
            <w:vAlign w:val="center"/>
          </w:tcPr>
          <w:p w14:paraId="4AE8E922" w14:textId="77777777" w:rsidR="003B55BA" w:rsidRPr="00EC2603" w:rsidRDefault="00EC2603" w:rsidP="007F7931">
            <w:pPr>
              <w:jc w:val="center"/>
              <w:rPr>
                <w:b/>
              </w:rPr>
            </w:pPr>
            <w:r w:rsidRPr="00EC2603">
              <w:rPr>
                <w:b/>
              </w:rPr>
              <w:t>6.11e-07</w:t>
            </w:r>
          </w:p>
        </w:tc>
        <w:tc>
          <w:tcPr>
            <w:tcW w:w="1466" w:type="dxa"/>
            <w:vAlign w:val="center"/>
          </w:tcPr>
          <w:p w14:paraId="64448C2D" w14:textId="77777777" w:rsidR="003B55BA" w:rsidRPr="00EC2603" w:rsidRDefault="00EC2603" w:rsidP="007F7931">
            <w:pPr>
              <w:jc w:val="center"/>
              <w:rPr>
                <w:b/>
              </w:rPr>
            </w:pPr>
            <w:r w:rsidRPr="00EC2603">
              <w:rPr>
                <w:b/>
              </w:rPr>
              <w:t>&lt; .001</w:t>
            </w:r>
          </w:p>
        </w:tc>
      </w:tr>
      <w:tr w:rsidR="00F12DA1" w14:paraId="1305D5B8" w14:textId="77777777" w:rsidTr="007F7931">
        <w:tc>
          <w:tcPr>
            <w:tcW w:w="4248" w:type="dxa"/>
            <w:vAlign w:val="center"/>
          </w:tcPr>
          <w:p w14:paraId="236EA16C" w14:textId="77777777" w:rsidR="00F12DA1" w:rsidRDefault="003B55BA" w:rsidP="007F7931">
            <w:r>
              <w:t>Centralization</w:t>
            </w:r>
          </w:p>
        </w:tc>
        <w:tc>
          <w:tcPr>
            <w:tcW w:w="1710" w:type="dxa"/>
            <w:vAlign w:val="center"/>
          </w:tcPr>
          <w:p w14:paraId="663369C0" w14:textId="77777777" w:rsidR="00F12DA1" w:rsidRPr="00EC2603" w:rsidRDefault="00EC2603" w:rsidP="007F7931">
            <w:pPr>
              <w:jc w:val="center"/>
              <w:rPr>
                <w:b/>
              </w:rPr>
            </w:pPr>
            <w:r w:rsidRPr="00EC2603">
              <w:rPr>
                <w:b/>
              </w:rPr>
              <w:t>.1144</w:t>
            </w:r>
          </w:p>
        </w:tc>
        <w:tc>
          <w:tcPr>
            <w:tcW w:w="1530" w:type="dxa"/>
            <w:vAlign w:val="center"/>
          </w:tcPr>
          <w:p w14:paraId="5D6CC975" w14:textId="77777777" w:rsidR="00F12DA1" w:rsidRPr="00EC2603" w:rsidRDefault="00EC2603" w:rsidP="007F7931">
            <w:pPr>
              <w:jc w:val="center"/>
              <w:rPr>
                <w:b/>
              </w:rPr>
            </w:pPr>
            <w:r w:rsidRPr="00EC2603">
              <w:rPr>
                <w:b/>
              </w:rPr>
              <w:t>.0422</w:t>
            </w:r>
          </w:p>
        </w:tc>
        <w:tc>
          <w:tcPr>
            <w:tcW w:w="1440" w:type="dxa"/>
            <w:vAlign w:val="center"/>
          </w:tcPr>
          <w:p w14:paraId="31797E1F" w14:textId="77777777" w:rsidR="00F12DA1" w:rsidRPr="00EC2603" w:rsidRDefault="00EC2603" w:rsidP="007F7931">
            <w:pPr>
              <w:jc w:val="center"/>
              <w:rPr>
                <w:b/>
              </w:rPr>
            </w:pPr>
            <w:r w:rsidRPr="00EC2603">
              <w:rPr>
                <w:b/>
              </w:rPr>
              <w:t>.007</w:t>
            </w:r>
          </w:p>
        </w:tc>
        <w:tc>
          <w:tcPr>
            <w:tcW w:w="1530" w:type="dxa"/>
            <w:vAlign w:val="center"/>
          </w:tcPr>
          <w:p w14:paraId="1CE84554" w14:textId="77777777" w:rsidR="00F12DA1" w:rsidRPr="00546B85" w:rsidRDefault="00EC2603" w:rsidP="007F7931">
            <w:pPr>
              <w:jc w:val="center"/>
            </w:pPr>
            <w:r>
              <w:t>.0925</w:t>
            </w:r>
          </w:p>
        </w:tc>
        <w:tc>
          <w:tcPr>
            <w:tcW w:w="1530" w:type="dxa"/>
            <w:vAlign w:val="center"/>
          </w:tcPr>
          <w:p w14:paraId="15B867BB" w14:textId="77777777" w:rsidR="00F12DA1" w:rsidRPr="00EE27A1" w:rsidRDefault="00EC2603" w:rsidP="007F7931">
            <w:pPr>
              <w:jc w:val="center"/>
            </w:pPr>
            <w:r>
              <w:t>.0496</w:t>
            </w:r>
          </w:p>
        </w:tc>
        <w:tc>
          <w:tcPr>
            <w:tcW w:w="1466" w:type="dxa"/>
            <w:vAlign w:val="center"/>
          </w:tcPr>
          <w:p w14:paraId="5E703DF5" w14:textId="77777777" w:rsidR="00F12DA1" w:rsidRPr="00EE27A1" w:rsidRDefault="00EC2603" w:rsidP="007F7931">
            <w:pPr>
              <w:jc w:val="center"/>
            </w:pPr>
            <w:r>
              <w:t>.062</w:t>
            </w:r>
          </w:p>
        </w:tc>
      </w:tr>
      <w:tr w:rsidR="00F12DA1" w14:paraId="4115A5D8" w14:textId="77777777" w:rsidTr="007F7931">
        <w:tc>
          <w:tcPr>
            <w:tcW w:w="4248" w:type="dxa"/>
            <w:vAlign w:val="center"/>
          </w:tcPr>
          <w:p w14:paraId="61E4B508" w14:textId="77777777" w:rsidR="00F12DA1" w:rsidRDefault="00F12DA1" w:rsidP="007F7931">
            <w:r>
              <w:t>Constant</w:t>
            </w:r>
          </w:p>
        </w:tc>
        <w:tc>
          <w:tcPr>
            <w:tcW w:w="1710" w:type="dxa"/>
            <w:vAlign w:val="center"/>
          </w:tcPr>
          <w:p w14:paraId="1E01CECC" w14:textId="77777777" w:rsidR="00F12DA1" w:rsidRPr="00EC2603" w:rsidRDefault="00EC2603" w:rsidP="007F7931">
            <w:pPr>
              <w:jc w:val="center"/>
              <w:rPr>
                <w:b/>
              </w:rPr>
            </w:pPr>
            <w:r w:rsidRPr="00EC2603">
              <w:rPr>
                <w:b/>
              </w:rPr>
              <w:t>.1386</w:t>
            </w:r>
          </w:p>
        </w:tc>
        <w:tc>
          <w:tcPr>
            <w:tcW w:w="1530" w:type="dxa"/>
            <w:vAlign w:val="center"/>
          </w:tcPr>
          <w:p w14:paraId="4667283F" w14:textId="77777777" w:rsidR="00F12DA1" w:rsidRPr="00EC2603" w:rsidRDefault="00EC2603" w:rsidP="007F7931">
            <w:pPr>
              <w:jc w:val="center"/>
              <w:rPr>
                <w:b/>
              </w:rPr>
            </w:pPr>
            <w:r w:rsidRPr="00EC2603">
              <w:rPr>
                <w:b/>
              </w:rPr>
              <w:t>.0505</w:t>
            </w:r>
          </w:p>
        </w:tc>
        <w:tc>
          <w:tcPr>
            <w:tcW w:w="1440" w:type="dxa"/>
            <w:vAlign w:val="center"/>
          </w:tcPr>
          <w:p w14:paraId="7E7FE54E" w14:textId="77777777" w:rsidR="00F12DA1" w:rsidRPr="00EC2603" w:rsidRDefault="00EC2603" w:rsidP="007F7931">
            <w:pPr>
              <w:jc w:val="center"/>
              <w:rPr>
                <w:b/>
              </w:rPr>
            </w:pPr>
            <w:r w:rsidRPr="00EC2603">
              <w:rPr>
                <w:b/>
              </w:rPr>
              <w:t>.006</w:t>
            </w:r>
          </w:p>
        </w:tc>
        <w:tc>
          <w:tcPr>
            <w:tcW w:w="1530" w:type="dxa"/>
            <w:vAlign w:val="center"/>
          </w:tcPr>
          <w:p w14:paraId="0B8CDB2C" w14:textId="77777777" w:rsidR="00F12DA1" w:rsidRPr="00EC2603" w:rsidRDefault="00EC2603" w:rsidP="007F7931">
            <w:pPr>
              <w:jc w:val="center"/>
              <w:rPr>
                <w:b/>
              </w:rPr>
            </w:pPr>
            <w:r w:rsidRPr="00EC2603">
              <w:rPr>
                <w:b/>
              </w:rPr>
              <w:t>.4132</w:t>
            </w:r>
          </w:p>
        </w:tc>
        <w:tc>
          <w:tcPr>
            <w:tcW w:w="1530" w:type="dxa"/>
            <w:vAlign w:val="center"/>
          </w:tcPr>
          <w:p w14:paraId="35C0E7F3" w14:textId="77777777" w:rsidR="00F12DA1" w:rsidRPr="00EC2603" w:rsidRDefault="00EC2603" w:rsidP="007F7931">
            <w:pPr>
              <w:jc w:val="center"/>
              <w:rPr>
                <w:b/>
              </w:rPr>
            </w:pPr>
            <w:r w:rsidRPr="00EC2603">
              <w:rPr>
                <w:b/>
              </w:rPr>
              <w:t>.0638</w:t>
            </w:r>
          </w:p>
        </w:tc>
        <w:tc>
          <w:tcPr>
            <w:tcW w:w="1466" w:type="dxa"/>
            <w:vAlign w:val="center"/>
          </w:tcPr>
          <w:p w14:paraId="448F1B43" w14:textId="77777777" w:rsidR="00F12DA1" w:rsidRPr="00EC2603" w:rsidRDefault="00EC2603" w:rsidP="007F7931">
            <w:pPr>
              <w:jc w:val="center"/>
              <w:rPr>
                <w:b/>
              </w:rPr>
            </w:pPr>
            <w:r w:rsidRPr="00EC2603">
              <w:rPr>
                <w:b/>
              </w:rPr>
              <w:t>&lt; .001</w:t>
            </w:r>
          </w:p>
        </w:tc>
      </w:tr>
    </w:tbl>
    <w:p w14:paraId="76881466" w14:textId="77777777" w:rsidR="00F12DA1" w:rsidRPr="00BA00F3" w:rsidRDefault="00BA00F3" w:rsidP="00BA00F3">
      <w:pPr>
        <w:spacing w:before="200" w:after="0"/>
      </w:pPr>
      <w:r>
        <w:t>Note: Tobit regression controlling for clustering of values by county and year. N = 45.</w:t>
      </w:r>
      <w:r w:rsidRPr="00A9335A">
        <w:t xml:space="preserve"> </w:t>
      </w:r>
      <w:r>
        <w:t xml:space="preserve">Parameters significant at the .05 level are in </w:t>
      </w:r>
      <w:r w:rsidRPr="00761EB9">
        <w:rPr>
          <w:b/>
        </w:rPr>
        <w:t>bold</w:t>
      </w:r>
      <w:r>
        <w:t xml:space="preserve">.  </w:t>
      </w:r>
    </w:p>
    <w:p w14:paraId="5D839174" w14:textId="77777777" w:rsidR="004761F9" w:rsidRDefault="004761F9" w:rsidP="00F03081">
      <w:pPr>
        <w:tabs>
          <w:tab w:val="left" w:pos="900"/>
        </w:tabs>
        <w:ind w:left="720" w:hanging="720"/>
        <w:sectPr w:rsidR="004761F9" w:rsidSect="005E01EC">
          <w:pgSz w:w="15840" w:h="12240" w:orient="landscape"/>
          <w:pgMar w:top="1440" w:right="1440" w:bottom="1440" w:left="1440" w:header="720" w:footer="720" w:gutter="0"/>
          <w:cols w:space="720"/>
          <w:docGrid w:linePitch="360"/>
        </w:sectPr>
      </w:pPr>
    </w:p>
    <w:p w14:paraId="1B6FE77C" w14:textId="77777777" w:rsidR="00F03081" w:rsidRDefault="004761F9" w:rsidP="004761F9">
      <w:pPr>
        <w:tabs>
          <w:tab w:val="left" w:pos="900"/>
        </w:tabs>
        <w:ind w:left="720" w:hanging="720"/>
        <w:rPr>
          <w:b/>
        </w:rPr>
      </w:pPr>
      <w:r w:rsidRPr="004761F9">
        <w:rPr>
          <w:b/>
        </w:rPr>
        <w:lastRenderedPageBreak/>
        <w:t xml:space="preserve">IV. </w:t>
      </w:r>
      <w:r>
        <w:rPr>
          <w:b/>
        </w:rPr>
        <w:tab/>
      </w:r>
      <w:r w:rsidRPr="004761F9">
        <w:rPr>
          <w:b/>
        </w:rPr>
        <w:t>Do patient-sharing network ties among buprenorphine prescribers facilitate prescribers becoming waivered initially, increasing their patient limits, and/or their provision of buprenorphine treatment (i.e., treatment duration, number of active patients)?</w:t>
      </w:r>
    </w:p>
    <w:p w14:paraId="2F103971" w14:textId="77777777" w:rsidR="00E2790C" w:rsidRDefault="00E2790C" w:rsidP="00625FAE">
      <w:pPr>
        <w:tabs>
          <w:tab w:val="left" w:pos="900"/>
        </w:tabs>
      </w:pPr>
      <w:r>
        <w:t>Diffusion curves depicting cumulative adoption of initially becoming buprenorphine-waivered (to treat up to 30 patients concurrently), becoming waivered to treat 100 patients, and becoming waivered to treat 275 patients, are shown in Figure</w:t>
      </w:r>
      <w:r w:rsidR="00F97675">
        <w:t>s</w:t>
      </w:r>
      <w:r>
        <w:t xml:space="preserve"> IV.1</w:t>
      </w:r>
      <w:r w:rsidR="00E1314B">
        <w:t>a – IV.1c</w:t>
      </w:r>
      <w:r>
        <w:t xml:space="preserve"> below. The waiver process began in 2002, with the increase to 100 patients beginning in 2007, and the increase to 275 patient</w:t>
      </w:r>
      <w:r w:rsidR="00BB3F1A">
        <w:t>s</w:t>
      </w:r>
      <w:r>
        <w:t xml:space="preserve"> beginning in 2016.</w:t>
      </w:r>
    </w:p>
    <w:p w14:paraId="1C788323" w14:textId="77777777" w:rsidR="00625FAE" w:rsidRDefault="00625FAE" w:rsidP="00E2790C">
      <w:pPr>
        <w:tabs>
          <w:tab w:val="left" w:pos="900"/>
        </w:tabs>
      </w:pPr>
      <w:r>
        <w:t xml:space="preserve">We note the different shapes of the three diffusion curves. In the diffusion of innovations literature, a distinction </w:t>
      </w:r>
      <w:r w:rsidR="00CF585B">
        <w:t>is</w:t>
      </w:r>
      <w:r w:rsidR="001C4C3C">
        <w:t xml:space="preserve"> made </w:t>
      </w:r>
      <w:r>
        <w:t>between diffusion processes that are internally driven – propelled by interactions among the individuals that are part of the system, such as the sharing of information by early adopters with those who have not (yet) adopted, or the observation of benefits achieved by early adopters</w:t>
      </w:r>
      <w:r w:rsidR="001C4C3C">
        <w:t>,</w:t>
      </w:r>
      <w:r>
        <w:t xml:space="preserve"> by potential adopters – and diffusion processes that are externally driven – propelled by forces outside the system, so that </w:t>
      </w:r>
      <w:r w:rsidR="00361E9D">
        <w:t>many individuals may adopt early because of external pressure to do so</w:t>
      </w:r>
      <w:r w:rsidR="009E1D93">
        <w:t>.</w:t>
      </w:r>
      <w:r w:rsidR="00361E9D">
        <w:rPr>
          <w:rStyle w:val="FootnoteReference"/>
        </w:rPr>
        <w:footnoteReference w:id="35"/>
      </w:r>
      <w:r w:rsidR="00D958FE">
        <w:t xml:space="preserve"> Internally-driven diffusions, which depend on peer interaction</w:t>
      </w:r>
      <w:r w:rsidR="00F97675">
        <w:t xml:space="preserve"> or peer communication</w:t>
      </w:r>
      <w:r w:rsidR="00D958FE">
        <w:t xml:space="preserve">, take on the traditional “S”-shaped diffusion curve; the diffusion of the buprenorphine-waiver for 30 patients has the appearance of the lower </w:t>
      </w:r>
      <w:r w:rsidR="00CF585B">
        <w:t xml:space="preserve">and middle </w:t>
      </w:r>
      <w:r w:rsidR="00D958FE">
        <w:t>portion</w:t>
      </w:r>
      <w:r w:rsidR="00CF585B">
        <w:t>s</w:t>
      </w:r>
      <w:r w:rsidR="00D958FE">
        <w:t xml:space="preserve"> of such a curve, including the inflection point at which adoption increases rapidly, and a bit beyond.</w:t>
      </w:r>
    </w:p>
    <w:p w14:paraId="564B9C72" w14:textId="77777777" w:rsidR="00E2790C" w:rsidRDefault="00E1314B" w:rsidP="00E2790C">
      <w:pPr>
        <w:tabs>
          <w:tab w:val="left" w:pos="900"/>
        </w:tabs>
      </w:pPr>
      <w:r>
        <w:rPr>
          <w:noProof/>
        </w:rPr>
        <w:drawing>
          <wp:inline distT="0" distB="0" distL="0" distR="0" wp14:anchorId="5F6850E8" wp14:editId="3FF4C9B2">
            <wp:extent cx="5311140" cy="3741420"/>
            <wp:effectExtent l="0" t="0" r="2286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BDAD3D" w14:textId="77777777" w:rsidR="00E1314B" w:rsidRDefault="004C317C" w:rsidP="00E2790C">
      <w:pPr>
        <w:tabs>
          <w:tab w:val="left" w:pos="900"/>
        </w:tabs>
      </w:pPr>
      <w:r>
        <w:rPr>
          <w:noProof/>
        </w:rPr>
        <w:lastRenderedPageBreak/>
        <w:drawing>
          <wp:inline distT="0" distB="0" distL="0" distR="0" wp14:anchorId="2CEA7D58" wp14:editId="3AD75DFA">
            <wp:extent cx="5279366" cy="4054415"/>
            <wp:effectExtent l="0" t="0" r="17145" b="22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ABBF3F" w14:textId="77777777" w:rsidR="004C317C" w:rsidRDefault="00625FAE" w:rsidP="00E2790C">
      <w:pPr>
        <w:tabs>
          <w:tab w:val="left" w:pos="900"/>
        </w:tabs>
      </w:pPr>
      <w:r>
        <w:rPr>
          <w:noProof/>
        </w:rPr>
        <w:drawing>
          <wp:inline distT="0" distB="0" distL="0" distR="0" wp14:anchorId="733D24D2" wp14:editId="0BBA86CD">
            <wp:extent cx="5279366" cy="3795623"/>
            <wp:effectExtent l="0" t="0" r="1714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D4B5AB" w14:textId="77777777" w:rsidR="001C4C3C" w:rsidRDefault="001C4C3C" w:rsidP="00E2790C">
      <w:pPr>
        <w:tabs>
          <w:tab w:val="left" w:pos="900"/>
        </w:tabs>
      </w:pPr>
      <w:r>
        <w:lastRenderedPageBreak/>
        <w:t>In contrast, the diffusion curve for the waiver for 275 patients has the appearance of an externally-driven diffusion curve – with a high early adoption followed by a leveling-off</w:t>
      </w:r>
      <w:r w:rsidR="009E1D93">
        <w:t>.</w:t>
      </w:r>
      <w:r>
        <w:rPr>
          <w:rStyle w:val="FootnoteReference"/>
        </w:rPr>
        <w:footnoteReference w:id="36"/>
      </w:r>
      <w:r>
        <w:t xml:space="preserve"> The diffusion of the waiver for 100 patients mostly resembles an internally-driven process, but has a slight early uptick in adoptions. The graph for the 100-patient waiver shows when prescribers would need to have been so waivered to be eligible to apply for the 275-patient waiver when it first became available</w:t>
      </w:r>
      <w:r w:rsidR="00D46E0D">
        <w:t>,</w:t>
      </w:r>
      <w:r>
        <w:t xml:space="preserve"> in September, 2016 (there was a one-year waiting period</w:t>
      </w:r>
      <w:r w:rsidR="00D46E0D">
        <w:t xml:space="preserve"> after becoming waivered for 100 patients). An increase in adoption of the 100-patient waiver began slightly before that point. For reference, we also note, in the graph for diffusion of the 30-patient waiver, the beginning of 2016; a steep increase in adoption of this waiver began around that time (presumably also driven, at least in part, by the advent of the 275-patient waiver).</w:t>
      </w:r>
    </w:p>
    <w:p w14:paraId="764A3C88" w14:textId="77777777" w:rsidR="004A10EA" w:rsidRPr="00E91F5F" w:rsidRDefault="00E91F5F" w:rsidP="00E91F5F">
      <w:pPr>
        <w:pStyle w:val="ListParagraph"/>
        <w:numPr>
          <w:ilvl w:val="0"/>
          <w:numId w:val="7"/>
        </w:numPr>
        <w:tabs>
          <w:tab w:val="left" w:pos="900"/>
        </w:tabs>
        <w:rPr>
          <w:b/>
        </w:rPr>
      </w:pPr>
      <w:r w:rsidRPr="00E91F5F">
        <w:rPr>
          <w:b/>
        </w:rPr>
        <w:t>Initially becoming waivered</w:t>
      </w:r>
    </w:p>
    <w:p w14:paraId="19011E53" w14:textId="77777777" w:rsidR="001E3EF7" w:rsidRDefault="001E3EF7" w:rsidP="00D85FA1">
      <w:r>
        <w:t xml:space="preserve">Because our PMP data only went as far back as 2011, we were unable to analyze adoption patterns for the 30-patient and 100-patient waivers from their beginnings. In both cases, our data begin when these diffusion processes had been underway for several years. </w:t>
      </w:r>
      <w:r w:rsidR="00D85FA1">
        <w:t xml:space="preserve">As noted above, in processes characterized by an S-shaped diffusion curve, we would expect adopters after the initial adopters to have </w:t>
      </w:r>
      <w:r w:rsidR="00F97675">
        <w:t xml:space="preserve">communication </w:t>
      </w:r>
      <w:r w:rsidR="00D85FA1">
        <w:t xml:space="preserve">ties with prior adopters. </w:t>
      </w:r>
      <w:r w:rsidR="00F97675">
        <w:t>In our data, shared-patient ties provide a proxy for communication ties.</w:t>
      </w:r>
    </w:p>
    <w:p w14:paraId="5AF525CD" w14:textId="77777777" w:rsidR="00D85FA1" w:rsidRPr="00D85FA1" w:rsidRDefault="00D85FA1" w:rsidP="00D85FA1">
      <w:pPr>
        <w:rPr>
          <w:b/>
        </w:rPr>
      </w:pPr>
      <w:r w:rsidRPr="00D85FA1">
        <w:rPr>
          <w:b/>
        </w:rPr>
        <w:t>Methods</w:t>
      </w:r>
    </w:p>
    <w:p w14:paraId="09B8068A" w14:textId="77777777" w:rsidR="00D85FA1" w:rsidRDefault="00D85FA1" w:rsidP="00D85FA1">
      <w:r>
        <w:t xml:space="preserve">Unlike adoption of the 100- and 275-patient waivers, where a pool of potential adopters can be </w:t>
      </w:r>
      <w:r w:rsidR="003A68D1">
        <w:t>read</w:t>
      </w:r>
      <w:r>
        <w:t xml:space="preserve">ily identified (i.e., previous adopters of 30- and 100-patient waivers, respectively), initial adopters of the 30-patient waiver could be any Massachusetts prescriber licensed to prescribe controlled substances. To analyze the role that shared-patient ties with waivered prescribers might have in facilitating their initial waiver adoption, we analyzed non-buprenorphine shared patient ties among Massachusetts prescribers in </w:t>
      </w:r>
      <w:r w:rsidR="007C33DD">
        <w:t>2011</w:t>
      </w:r>
      <w:r w:rsidR="003A68D1">
        <w:t xml:space="preserve"> and in 2014</w:t>
      </w:r>
      <w:r>
        <w:t xml:space="preserve">, and identified which of those ties were with waivered prescribers (providing non-MOUD patient care). </w:t>
      </w:r>
      <w:r w:rsidR="007C33DD">
        <w:t xml:space="preserve">We examined </w:t>
      </w:r>
      <w:r w:rsidR="003A68D1">
        <w:t>these years</w:t>
      </w:r>
      <w:r w:rsidR="007C33DD">
        <w:t xml:space="preserve"> for two reasons. First, </w:t>
      </w:r>
      <w:r w:rsidR="003A68D1">
        <w:t>2011</w:t>
      </w:r>
      <w:r w:rsidR="007C33DD">
        <w:t xml:space="preserve"> was the earliest year for which we have PMP data</w:t>
      </w:r>
      <w:r w:rsidR="009250C5">
        <w:t xml:space="preserve"> matched with waivered prescriber data</w:t>
      </w:r>
      <w:r w:rsidR="007C33DD">
        <w:t xml:space="preserve">. Second, because analyzing prescriber ties for all prescribers who appear in the MA PMP is computationally intensive, we </w:t>
      </w:r>
      <w:r w:rsidR="003A68D1">
        <w:t>conducted this analysis on two years only.</w:t>
      </w:r>
    </w:p>
    <w:p w14:paraId="73DF802C" w14:textId="77777777" w:rsidR="009250C5" w:rsidRDefault="009250C5" w:rsidP="00D85FA1">
      <w:r>
        <w:t xml:space="preserve">Although we did not have specialty data on these prescribers, or data on their numbers of patients, we did have their county practice location. </w:t>
      </w:r>
      <w:r w:rsidR="00BD73D2">
        <w:t xml:space="preserve">We used logistic regression to analyze the effect of having at least one non-buprenorphine shared-patient tie with a waivered prescriber in 2011 on the likelihood of becoming waivered in 2012, </w:t>
      </w:r>
      <w:r w:rsidR="003A68D1">
        <w:t xml:space="preserve">2013, or 2014, </w:t>
      </w:r>
      <w:r w:rsidR="00BD73D2">
        <w:t xml:space="preserve">controlling (via dichotomous variables for each county) </w:t>
      </w:r>
      <w:r w:rsidR="00A26268">
        <w:t xml:space="preserve">for </w:t>
      </w:r>
      <w:r w:rsidR="00BD73D2">
        <w:t>county location.</w:t>
      </w:r>
      <w:r w:rsidR="003A68D1">
        <w:t xml:space="preserve"> We conducted a similar analysis for the effect of ties in 2014 on the likelihood of initially becoming waivered in each of the subsequent three years.</w:t>
      </w:r>
    </w:p>
    <w:p w14:paraId="6044FFFC" w14:textId="77777777" w:rsidR="003A68D1" w:rsidRDefault="003A68D1" w:rsidP="00D85FA1">
      <w:pPr>
        <w:rPr>
          <w:b/>
        </w:rPr>
      </w:pPr>
    </w:p>
    <w:p w14:paraId="521D44E1" w14:textId="77777777" w:rsidR="003A68D1" w:rsidRDefault="003A68D1" w:rsidP="00D85FA1">
      <w:pPr>
        <w:rPr>
          <w:b/>
        </w:rPr>
      </w:pPr>
    </w:p>
    <w:p w14:paraId="47E85FE1" w14:textId="77777777" w:rsidR="00BD73D2" w:rsidRPr="00BD73D2" w:rsidRDefault="00BD73D2" w:rsidP="00D85FA1">
      <w:pPr>
        <w:rPr>
          <w:b/>
        </w:rPr>
      </w:pPr>
      <w:r w:rsidRPr="00BD73D2">
        <w:rPr>
          <w:b/>
        </w:rPr>
        <w:lastRenderedPageBreak/>
        <w:t>Results</w:t>
      </w:r>
    </w:p>
    <w:p w14:paraId="38B3030B" w14:textId="77777777" w:rsidR="007C33DD" w:rsidRDefault="007C33DD" w:rsidP="00D85FA1">
      <w:r>
        <w:t xml:space="preserve">A total of </w:t>
      </w:r>
      <w:r w:rsidR="003A68D1">
        <w:t>31,522 non-waivered</w:t>
      </w:r>
      <w:r>
        <w:t xml:space="preserve"> Massachusetts prescribers appeared in the MA PMP data for 2011. </w:t>
      </w:r>
      <w:r w:rsidR="009250C5">
        <w:t xml:space="preserve">Of that total, 74 became waivered for 30 patients in 2012. Also of the total of </w:t>
      </w:r>
      <w:r w:rsidR="003A68D1">
        <w:t>31,522</w:t>
      </w:r>
      <w:r w:rsidR="009250C5">
        <w:t xml:space="preserve">, </w:t>
      </w:r>
      <w:r w:rsidR="003A68D1">
        <w:t>369</w:t>
      </w:r>
      <w:r w:rsidR="009250C5">
        <w:t xml:space="preserve"> had at least one non-buprenorphine shared-patient tie of at least 10 patients with a prescriber waivered as of the end of 2011.</w:t>
      </w:r>
      <w:r w:rsidR="00BD73D2">
        <w:t xml:space="preserve"> </w:t>
      </w:r>
      <w:r w:rsidR="00346BE3">
        <w:t>The association of having at least one such tie and becoming waivered in 2012 was significant (p = .0</w:t>
      </w:r>
      <w:r w:rsidR="003A68D1">
        <w:t>31</w:t>
      </w:r>
      <w:r w:rsidR="00346BE3">
        <w:t>), as shown in Table IV.1 below.</w:t>
      </w:r>
      <w:r w:rsidR="00C90425">
        <w:t xml:space="preserve"> The proportion of Massachusetts prescribers active in the PMP who initially became waivered in 2012 was 0.2</w:t>
      </w:r>
      <w:r w:rsidR="003A68D1">
        <w:t>3</w:t>
      </w:r>
      <w:r w:rsidR="00C90425">
        <w:t>%; as indicated in the odds ratio below, this proportion increased by 3</w:t>
      </w:r>
      <w:r w:rsidR="003A68D1">
        <w:t>63</w:t>
      </w:r>
      <w:r w:rsidR="00C90425">
        <w:t>%, to 0.</w:t>
      </w:r>
      <w:r w:rsidR="003A68D1">
        <w:t>81</w:t>
      </w:r>
      <w:r w:rsidR="00C90425">
        <w:t xml:space="preserve">%, for those prescribers who had at least one non-buprenorphine shared-patient tie with a waivered prescriber in 2011. </w:t>
      </w:r>
    </w:p>
    <w:p w14:paraId="4688A1B3" w14:textId="77777777" w:rsidR="002938B4" w:rsidRDefault="002938B4" w:rsidP="00D85FA1">
      <w:r>
        <w:t xml:space="preserve">We also examined the effect of having one or more non-buprenorphine shared-patient ties with a waivered prescriber in 2011 on becoming waivered in 2013, 2014, or in any of the three years 2012-2014. </w:t>
      </w:r>
      <w:r w:rsidR="006316E6">
        <w:t>In each of these cases, the effect was significant at the .001 level (Table IV.1) below, with the largest effect in 2014, representing a two-year lag</w:t>
      </w:r>
      <w:r w:rsidR="00203036">
        <w:t>, of more than 1,000% on the likelihood of initially becoming waivered</w:t>
      </w:r>
      <w:r w:rsidR="006316E6">
        <w:t xml:space="preserve">. Table IV.1 also shows, for each regression, the </w:t>
      </w:r>
      <w:proofErr w:type="spellStart"/>
      <w:r w:rsidR="006316E6">
        <w:t>Nagelkerke</w:t>
      </w:r>
      <w:proofErr w:type="spellEnd"/>
      <w:r w:rsidR="006316E6">
        <w:t xml:space="preserve"> R</w:t>
      </w:r>
      <w:r w:rsidR="006316E6" w:rsidRPr="006316E6">
        <w:rPr>
          <w:vertAlign w:val="superscript"/>
        </w:rPr>
        <w:t>2</w:t>
      </w:r>
      <w:r w:rsidR="006316E6">
        <w:t>, a kin</w:t>
      </w:r>
      <w:r w:rsidR="006A5BAA">
        <w:t>d</w:t>
      </w:r>
      <w:r w:rsidR="006316E6">
        <w:t xml:space="preserve"> of pseudo-R</w:t>
      </w:r>
      <w:r w:rsidR="006316E6" w:rsidRPr="006316E6">
        <w:rPr>
          <w:vertAlign w:val="superscript"/>
        </w:rPr>
        <w:t>2</w:t>
      </w:r>
      <w:r w:rsidR="006316E6">
        <w:t xml:space="preserve"> for logistic regressions, and the Hosmer and </w:t>
      </w:r>
      <w:proofErr w:type="spellStart"/>
      <w:r w:rsidR="006316E6">
        <w:t>Lemeshow</w:t>
      </w:r>
      <w:proofErr w:type="spellEnd"/>
      <w:r w:rsidR="006316E6">
        <w:t xml:space="preserve"> goodness-of-fit test</w:t>
      </w:r>
      <w:r w:rsidR="006A5BAA">
        <w:t xml:space="preserve"> of model to data</w:t>
      </w:r>
      <w:r w:rsidR="006316E6">
        <w:t>. Although no definitive goodness-of-fit test exists for logistic regressions, the Hosmer-</w:t>
      </w:r>
      <w:proofErr w:type="spellStart"/>
      <w:r w:rsidR="006316E6">
        <w:t>Lemeshow</w:t>
      </w:r>
      <w:proofErr w:type="spellEnd"/>
      <w:r w:rsidR="006316E6">
        <w:t xml:space="preserve"> test is thought to be suggestive though not conclusive, where non-statistical significance </w:t>
      </w:r>
      <w:r w:rsidR="006A5BAA">
        <w:t>reflects relative goodness of fit</w:t>
      </w:r>
      <w:r w:rsidR="006316E6">
        <w:t>.</w:t>
      </w:r>
    </w:p>
    <w:p w14:paraId="02B02EAA" w14:textId="77777777" w:rsidR="00346BE3" w:rsidRPr="00346BE3" w:rsidRDefault="00346BE3" w:rsidP="00B35516">
      <w:pPr>
        <w:spacing w:after="120"/>
        <w:rPr>
          <w:b/>
        </w:rPr>
      </w:pPr>
      <w:r w:rsidRPr="00346BE3">
        <w:rPr>
          <w:b/>
        </w:rPr>
        <w:t>Table IV.1: Logistic regression</w:t>
      </w:r>
      <w:r w:rsidR="006C7F07">
        <w:rPr>
          <w:b/>
        </w:rPr>
        <w:t>s</w:t>
      </w:r>
      <w:r w:rsidRPr="00346BE3">
        <w:rPr>
          <w:b/>
        </w:rPr>
        <w:t xml:space="preserve"> on becoming waivered for 30 patients in Massachusetts, 201</w:t>
      </w:r>
      <w:r>
        <w:rPr>
          <w:b/>
        </w:rPr>
        <w:t>2</w:t>
      </w:r>
      <w:r w:rsidR="003A68D1">
        <w:rPr>
          <w:b/>
        </w:rPr>
        <w:t>, 2013, or 2014</w:t>
      </w:r>
    </w:p>
    <w:p w14:paraId="3BFAF30B" w14:textId="77777777" w:rsidR="007066F6" w:rsidRDefault="00346BE3" w:rsidP="00346BE3">
      <w:pPr>
        <w:spacing w:after="0"/>
        <w:rPr>
          <w:b/>
        </w:rPr>
      </w:pPr>
      <w:r w:rsidRPr="00346BE3">
        <w:rPr>
          <w:b/>
        </w:rPr>
        <w:t xml:space="preserve">Dependent variable: Becoming waivered </w:t>
      </w:r>
    </w:p>
    <w:p w14:paraId="254ACB2F" w14:textId="77777777" w:rsidR="00346BE3" w:rsidRPr="00346BE3" w:rsidRDefault="003A68D1" w:rsidP="00346BE3">
      <w:pPr>
        <w:spacing w:after="0"/>
        <w:rPr>
          <w:b/>
        </w:rPr>
      </w:pPr>
      <w:r>
        <w:rPr>
          <w:b/>
        </w:rPr>
        <w:t>f</w:t>
      </w:r>
      <w:r w:rsidR="00346BE3" w:rsidRPr="00346BE3">
        <w:rPr>
          <w:b/>
        </w:rPr>
        <w:t>or 30 patients in</w:t>
      </w:r>
      <w:r w:rsidR="007066F6">
        <w:rPr>
          <w:b/>
        </w:rPr>
        <w:t>:</w:t>
      </w:r>
      <w:r w:rsidR="00346BE3" w:rsidRPr="00346BE3">
        <w:rPr>
          <w:b/>
        </w:rPr>
        <w:t xml:space="preserve"> </w:t>
      </w:r>
      <w:r w:rsidR="007066F6">
        <w:rPr>
          <w:b/>
        </w:rPr>
        <w:tab/>
      </w:r>
      <w:r w:rsidR="007066F6">
        <w:rPr>
          <w:b/>
        </w:rPr>
        <w:tab/>
        <w:t xml:space="preserve">   </w:t>
      </w:r>
      <w:r w:rsidR="00346BE3" w:rsidRPr="00346BE3">
        <w:rPr>
          <w:b/>
        </w:rPr>
        <w:t>2012</w:t>
      </w:r>
      <w:r w:rsidR="007066F6">
        <w:rPr>
          <w:b/>
        </w:rPr>
        <w:tab/>
      </w:r>
      <w:r w:rsidR="007066F6">
        <w:rPr>
          <w:b/>
        </w:rPr>
        <w:tab/>
        <w:t xml:space="preserve">           2013</w:t>
      </w:r>
      <w:r w:rsidR="007066F6">
        <w:rPr>
          <w:b/>
        </w:rPr>
        <w:tab/>
      </w:r>
      <w:proofErr w:type="gramStart"/>
      <w:r w:rsidR="007066F6">
        <w:rPr>
          <w:b/>
        </w:rPr>
        <w:tab/>
        <w:t xml:space="preserve">  2014</w:t>
      </w:r>
      <w:proofErr w:type="gramEnd"/>
      <w:r w:rsidR="007066F6">
        <w:rPr>
          <w:b/>
        </w:rPr>
        <w:tab/>
      </w:r>
      <w:r w:rsidR="007066F6">
        <w:rPr>
          <w:b/>
        </w:rPr>
        <w:tab/>
        <w:t xml:space="preserve">   2012-2014</w:t>
      </w:r>
    </w:p>
    <w:tbl>
      <w:tblPr>
        <w:tblStyle w:val="TableGrid"/>
        <w:tblW w:w="0" w:type="auto"/>
        <w:tblLook w:val="04A0" w:firstRow="1" w:lastRow="0" w:firstColumn="1" w:lastColumn="0" w:noHBand="0" w:noVBand="1"/>
      </w:tblPr>
      <w:tblGrid>
        <w:gridCol w:w="2581"/>
        <w:gridCol w:w="1823"/>
        <w:gridCol w:w="1724"/>
        <w:gridCol w:w="1724"/>
        <w:gridCol w:w="1724"/>
      </w:tblGrid>
      <w:tr w:rsidR="007066F6" w14:paraId="1C321875" w14:textId="77777777" w:rsidTr="007066F6">
        <w:tc>
          <w:tcPr>
            <w:tcW w:w="2581" w:type="dxa"/>
          </w:tcPr>
          <w:p w14:paraId="4161A0EB" w14:textId="77777777" w:rsidR="007066F6" w:rsidRPr="00346BE3" w:rsidRDefault="007066F6" w:rsidP="00E91F5F">
            <w:pPr>
              <w:tabs>
                <w:tab w:val="left" w:pos="900"/>
              </w:tabs>
              <w:rPr>
                <w:b/>
              </w:rPr>
            </w:pPr>
            <w:r w:rsidRPr="00346BE3">
              <w:rPr>
                <w:b/>
              </w:rPr>
              <w:t>Predictors</w:t>
            </w:r>
            <w:r>
              <w:rPr>
                <w:b/>
              </w:rPr>
              <w:t>:</w:t>
            </w:r>
          </w:p>
        </w:tc>
        <w:tc>
          <w:tcPr>
            <w:tcW w:w="1823" w:type="dxa"/>
            <w:vAlign w:val="center"/>
          </w:tcPr>
          <w:p w14:paraId="59671EDA" w14:textId="77777777" w:rsidR="007066F6" w:rsidRPr="00346BE3" w:rsidRDefault="007066F6" w:rsidP="00346BE3">
            <w:pPr>
              <w:tabs>
                <w:tab w:val="left" w:pos="900"/>
              </w:tabs>
              <w:jc w:val="center"/>
              <w:rPr>
                <w:b/>
              </w:rPr>
            </w:pPr>
            <w:r>
              <w:rPr>
                <w:b/>
              </w:rPr>
              <w:t>OR</w:t>
            </w:r>
            <w:r w:rsidRPr="00346BE3">
              <w:rPr>
                <w:b/>
              </w:rPr>
              <w:t xml:space="preserve"> (95% CI)</w:t>
            </w:r>
          </w:p>
        </w:tc>
        <w:tc>
          <w:tcPr>
            <w:tcW w:w="1724" w:type="dxa"/>
          </w:tcPr>
          <w:p w14:paraId="641775F9" w14:textId="77777777" w:rsidR="007066F6" w:rsidRDefault="007066F6" w:rsidP="00346BE3">
            <w:pPr>
              <w:tabs>
                <w:tab w:val="left" w:pos="900"/>
              </w:tabs>
              <w:jc w:val="center"/>
              <w:rPr>
                <w:b/>
              </w:rPr>
            </w:pPr>
            <w:r>
              <w:rPr>
                <w:b/>
              </w:rPr>
              <w:t>OR</w:t>
            </w:r>
            <w:r w:rsidRPr="00346BE3">
              <w:rPr>
                <w:b/>
              </w:rPr>
              <w:t xml:space="preserve"> (95% CI)</w:t>
            </w:r>
          </w:p>
        </w:tc>
        <w:tc>
          <w:tcPr>
            <w:tcW w:w="1724" w:type="dxa"/>
          </w:tcPr>
          <w:p w14:paraId="7315B70F" w14:textId="77777777" w:rsidR="007066F6" w:rsidRDefault="007066F6" w:rsidP="00346BE3">
            <w:pPr>
              <w:tabs>
                <w:tab w:val="left" w:pos="900"/>
              </w:tabs>
              <w:jc w:val="center"/>
              <w:rPr>
                <w:b/>
              </w:rPr>
            </w:pPr>
            <w:r>
              <w:rPr>
                <w:b/>
              </w:rPr>
              <w:t>OR</w:t>
            </w:r>
            <w:r w:rsidRPr="00346BE3">
              <w:rPr>
                <w:b/>
              </w:rPr>
              <w:t xml:space="preserve"> (95% CI)</w:t>
            </w:r>
          </w:p>
        </w:tc>
        <w:tc>
          <w:tcPr>
            <w:tcW w:w="1724" w:type="dxa"/>
          </w:tcPr>
          <w:p w14:paraId="231C9FFB" w14:textId="77777777" w:rsidR="007066F6" w:rsidRDefault="007066F6" w:rsidP="00346BE3">
            <w:pPr>
              <w:tabs>
                <w:tab w:val="left" w:pos="900"/>
              </w:tabs>
              <w:jc w:val="center"/>
              <w:rPr>
                <w:b/>
              </w:rPr>
            </w:pPr>
            <w:r>
              <w:rPr>
                <w:b/>
              </w:rPr>
              <w:t>OR</w:t>
            </w:r>
            <w:r w:rsidRPr="00346BE3">
              <w:rPr>
                <w:b/>
              </w:rPr>
              <w:t xml:space="preserve"> (95% CI)</w:t>
            </w:r>
          </w:p>
        </w:tc>
      </w:tr>
      <w:tr w:rsidR="007066F6" w14:paraId="44B02D81" w14:textId="77777777" w:rsidTr="007066F6">
        <w:tc>
          <w:tcPr>
            <w:tcW w:w="2581" w:type="dxa"/>
          </w:tcPr>
          <w:p w14:paraId="48E103CA" w14:textId="77777777" w:rsidR="007066F6" w:rsidRPr="00346BE3" w:rsidRDefault="007066F6" w:rsidP="00E91F5F">
            <w:pPr>
              <w:tabs>
                <w:tab w:val="left" w:pos="900"/>
              </w:tabs>
              <w:rPr>
                <w:b/>
              </w:rPr>
            </w:pPr>
            <w:r w:rsidRPr="00346BE3">
              <w:rPr>
                <w:b/>
              </w:rPr>
              <w:t>Having at least one shared-patient tie with a waivered prescriber in 2011</w:t>
            </w:r>
          </w:p>
        </w:tc>
        <w:tc>
          <w:tcPr>
            <w:tcW w:w="1823" w:type="dxa"/>
            <w:vAlign w:val="center"/>
          </w:tcPr>
          <w:p w14:paraId="7B5B3A90" w14:textId="77777777" w:rsidR="007066F6" w:rsidRPr="004C3B61" w:rsidRDefault="007066F6" w:rsidP="007066F6">
            <w:pPr>
              <w:tabs>
                <w:tab w:val="left" w:pos="900"/>
              </w:tabs>
              <w:jc w:val="center"/>
              <w:rPr>
                <w:b/>
              </w:rPr>
            </w:pPr>
            <w:r w:rsidRPr="004C3B61">
              <w:rPr>
                <w:b/>
              </w:rPr>
              <w:t>3.</w:t>
            </w:r>
            <w:r>
              <w:rPr>
                <w:b/>
              </w:rPr>
              <w:t>630</w:t>
            </w:r>
            <w:r w:rsidRPr="004C3B61">
              <w:rPr>
                <w:b/>
              </w:rPr>
              <w:t xml:space="preserve"> </w:t>
            </w:r>
            <w:r>
              <w:rPr>
                <w:b/>
              </w:rPr>
              <w:t>(</w:t>
            </w:r>
            <w:r w:rsidRPr="004C3B61">
              <w:rPr>
                <w:b/>
              </w:rPr>
              <w:t>1.</w:t>
            </w:r>
            <w:r>
              <w:rPr>
                <w:b/>
              </w:rPr>
              <w:t>125</w:t>
            </w:r>
            <w:r w:rsidRPr="004C3B61">
              <w:rPr>
                <w:b/>
              </w:rPr>
              <w:t xml:space="preserve">, </w:t>
            </w:r>
            <w:r>
              <w:rPr>
                <w:b/>
              </w:rPr>
              <w:t>11.711</w:t>
            </w:r>
            <w:r w:rsidRPr="004C3B61">
              <w:rPr>
                <w:b/>
              </w:rPr>
              <w:t>)</w:t>
            </w:r>
          </w:p>
        </w:tc>
        <w:tc>
          <w:tcPr>
            <w:tcW w:w="1724" w:type="dxa"/>
            <w:vAlign w:val="center"/>
          </w:tcPr>
          <w:p w14:paraId="75E2B2E0" w14:textId="77777777" w:rsidR="007066F6" w:rsidRPr="004C3B61" w:rsidRDefault="007066F6" w:rsidP="007066F6">
            <w:pPr>
              <w:tabs>
                <w:tab w:val="left" w:pos="900"/>
              </w:tabs>
              <w:jc w:val="center"/>
              <w:rPr>
                <w:b/>
              </w:rPr>
            </w:pPr>
            <w:r>
              <w:rPr>
                <w:b/>
              </w:rPr>
              <w:t>10.711 (5.191, 22.101)</w:t>
            </w:r>
          </w:p>
        </w:tc>
        <w:tc>
          <w:tcPr>
            <w:tcW w:w="1724" w:type="dxa"/>
            <w:vAlign w:val="center"/>
          </w:tcPr>
          <w:p w14:paraId="14F5324A" w14:textId="77777777" w:rsidR="007066F6" w:rsidRPr="004C3B61" w:rsidRDefault="007066F6" w:rsidP="007066F6">
            <w:pPr>
              <w:tabs>
                <w:tab w:val="left" w:pos="900"/>
              </w:tabs>
              <w:jc w:val="center"/>
              <w:rPr>
                <w:b/>
              </w:rPr>
            </w:pPr>
            <w:r>
              <w:rPr>
                <w:b/>
              </w:rPr>
              <w:t>5.340 (2.405, 11.856)</w:t>
            </w:r>
          </w:p>
        </w:tc>
        <w:tc>
          <w:tcPr>
            <w:tcW w:w="1724" w:type="dxa"/>
            <w:vAlign w:val="center"/>
          </w:tcPr>
          <w:p w14:paraId="1D96FE8D" w14:textId="77777777" w:rsidR="007066F6" w:rsidRPr="004C3B61" w:rsidRDefault="007066F6" w:rsidP="007066F6">
            <w:pPr>
              <w:tabs>
                <w:tab w:val="left" w:pos="900"/>
              </w:tabs>
              <w:jc w:val="center"/>
              <w:rPr>
                <w:b/>
              </w:rPr>
            </w:pPr>
            <w:r>
              <w:rPr>
                <w:b/>
              </w:rPr>
              <w:t>6.533 (3.998, 10.678)</w:t>
            </w:r>
          </w:p>
        </w:tc>
      </w:tr>
      <w:tr w:rsidR="007066F6" w14:paraId="270E7A7F" w14:textId="77777777" w:rsidTr="007066F6">
        <w:tc>
          <w:tcPr>
            <w:tcW w:w="2581" w:type="dxa"/>
          </w:tcPr>
          <w:p w14:paraId="35CE963D" w14:textId="77777777" w:rsidR="007066F6" w:rsidRPr="00346BE3" w:rsidRDefault="007066F6" w:rsidP="00E91F5F">
            <w:pPr>
              <w:tabs>
                <w:tab w:val="left" w:pos="900"/>
              </w:tabs>
              <w:rPr>
                <w:b/>
              </w:rPr>
            </w:pPr>
            <w:r w:rsidRPr="00346BE3">
              <w:rPr>
                <w:b/>
              </w:rPr>
              <w:t>Constant</w:t>
            </w:r>
          </w:p>
        </w:tc>
        <w:tc>
          <w:tcPr>
            <w:tcW w:w="1823" w:type="dxa"/>
            <w:vAlign w:val="center"/>
          </w:tcPr>
          <w:p w14:paraId="51667CF9" w14:textId="77777777" w:rsidR="007066F6" w:rsidRPr="00B35516" w:rsidRDefault="007066F6" w:rsidP="00346BE3">
            <w:pPr>
              <w:tabs>
                <w:tab w:val="left" w:pos="900"/>
              </w:tabs>
              <w:jc w:val="center"/>
              <w:rPr>
                <w:b/>
              </w:rPr>
            </w:pPr>
            <w:r w:rsidRPr="00B35516">
              <w:rPr>
                <w:b/>
              </w:rPr>
              <w:t>.002</w:t>
            </w:r>
          </w:p>
        </w:tc>
        <w:tc>
          <w:tcPr>
            <w:tcW w:w="1724" w:type="dxa"/>
          </w:tcPr>
          <w:p w14:paraId="63D53BFD" w14:textId="77777777" w:rsidR="007066F6" w:rsidRPr="00B35516" w:rsidRDefault="007066F6" w:rsidP="00346BE3">
            <w:pPr>
              <w:tabs>
                <w:tab w:val="left" w:pos="900"/>
              </w:tabs>
              <w:jc w:val="center"/>
              <w:rPr>
                <w:b/>
              </w:rPr>
            </w:pPr>
            <w:r>
              <w:rPr>
                <w:b/>
              </w:rPr>
              <w:t>.001</w:t>
            </w:r>
          </w:p>
        </w:tc>
        <w:tc>
          <w:tcPr>
            <w:tcW w:w="1724" w:type="dxa"/>
          </w:tcPr>
          <w:p w14:paraId="066B4975" w14:textId="77777777" w:rsidR="007066F6" w:rsidRPr="00B35516" w:rsidRDefault="007066F6" w:rsidP="00346BE3">
            <w:pPr>
              <w:tabs>
                <w:tab w:val="left" w:pos="900"/>
              </w:tabs>
              <w:jc w:val="center"/>
              <w:rPr>
                <w:b/>
              </w:rPr>
            </w:pPr>
            <w:r>
              <w:rPr>
                <w:b/>
              </w:rPr>
              <w:t>.003</w:t>
            </w:r>
          </w:p>
        </w:tc>
        <w:tc>
          <w:tcPr>
            <w:tcW w:w="1724" w:type="dxa"/>
          </w:tcPr>
          <w:p w14:paraId="5CEDBA3C" w14:textId="77777777" w:rsidR="007066F6" w:rsidRPr="00B35516" w:rsidRDefault="007066F6" w:rsidP="00346BE3">
            <w:pPr>
              <w:tabs>
                <w:tab w:val="left" w:pos="900"/>
              </w:tabs>
              <w:jc w:val="center"/>
              <w:rPr>
                <w:b/>
              </w:rPr>
            </w:pPr>
          </w:p>
        </w:tc>
      </w:tr>
      <w:tr w:rsidR="007066F6" w14:paraId="2B9A0C24" w14:textId="77777777" w:rsidTr="007066F6">
        <w:tc>
          <w:tcPr>
            <w:tcW w:w="2581" w:type="dxa"/>
          </w:tcPr>
          <w:p w14:paraId="717E26C9" w14:textId="77777777" w:rsidR="007066F6" w:rsidRDefault="007066F6" w:rsidP="00E91F5F">
            <w:pPr>
              <w:tabs>
                <w:tab w:val="left" w:pos="900"/>
              </w:tabs>
            </w:pPr>
          </w:p>
        </w:tc>
        <w:tc>
          <w:tcPr>
            <w:tcW w:w="1823" w:type="dxa"/>
            <w:vAlign w:val="center"/>
          </w:tcPr>
          <w:p w14:paraId="0FA2E642" w14:textId="77777777" w:rsidR="007066F6" w:rsidRDefault="007066F6" w:rsidP="00346BE3">
            <w:pPr>
              <w:tabs>
                <w:tab w:val="left" w:pos="900"/>
              </w:tabs>
              <w:jc w:val="center"/>
            </w:pPr>
          </w:p>
        </w:tc>
        <w:tc>
          <w:tcPr>
            <w:tcW w:w="1724" w:type="dxa"/>
          </w:tcPr>
          <w:p w14:paraId="7768218E" w14:textId="77777777" w:rsidR="007066F6" w:rsidRDefault="007066F6" w:rsidP="00346BE3">
            <w:pPr>
              <w:tabs>
                <w:tab w:val="left" w:pos="900"/>
              </w:tabs>
              <w:jc w:val="center"/>
            </w:pPr>
          </w:p>
        </w:tc>
        <w:tc>
          <w:tcPr>
            <w:tcW w:w="1724" w:type="dxa"/>
          </w:tcPr>
          <w:p w14:paraId="70DC2B89" w14:textId="77777777" w:rsidR="007066F6" w:rsidRDefault="007066F6" w:rsidP="00346BE3">
            <w:pPr>
              <w:tabs>
                <w:tab w:val="left" w:pos="900"/>
              </w:tabs>
              <w:jc w:val="center"/>
            </w:pPr>
          </w:p>
        </w:tc>
        <w:tc>
          <w:tcPr>
            <w:tcW w:w="1724" w:type="dxa"/>
          </w:tcPr>
          <w:p w14:paraId="497F16C9" w14:textId="77777777" w:rsidR="007066F6" w:rsidRDefault="007066F6" w:rsidP="00346BE3">
            <w:pPr>
              <w:tabs>
                <w:tab w:val="left" w:pos="900"/>
              </w:tabs>
              <w:jc w:val="center"/>
            </w:pPr>
          </w:p>
        </w:tc>
      </w:tr>
      <w:tr w:rsidR="007066F6" w14:paraId="21C00FBF" w14:textId="77777777" w:rsidTr="007066F6">
        <w:tc>
          <w:tcPr>
            <w:tcW w:w="2581" w:type="dxa"/>
          </w:tcPr>
          <w:p w14:paraId="4FD082DD" w14:textId="77777777" w:rsidR="007066F6" w:rsidRPr="00346BE3" w:rsidRDefault="007066F6" w:rsidP="00E91F5F">
            <w:pPr>
              <w:tabs>
                <w:tab w:val="left" w:pos="900"/>
              </w:tabs>
              <w:rPr>
                <w:b/>
              </w:rPr>
            </w:pPr>
            <w:r w:rsidRPr="00346BE3">
              <w:rPr>
                <w:b/>
              </w:rPr>
              <w:t>N</w:t>
            </w:r>
          </w:p>
        </w:tc>
        <w:tc>
          <w:tcPr>
            <w:tcW w:w="1823" w:type="dxa"/>
            <w:vAlign w:val="center"/>
          </w:tcPr>
          <w:p w14:paraId="0D39448F" w14:textId="77777777" w:rsidR="007066F6" w:rsidRDefault="007066F6" w:rsidP="00346BE3">
            <w:pPr>
              <w:tabs>
                <w:tab w:val="left" w:pos="900"/>
              </w:tabs>
              <w:jc w:val="center"/>
            </w:pPr>
            <w:r>
              <w:t>31,522</w:t>
            </w:r>
          </w:p>
        </w:tc>
        <w:tc>
          <w:tcPr>
            <w:tcW w:w="1724" w:type="dxa"/>
          </w:tcPr>
          <w:p w14:paraId="6907E77B" w14:textId="77777777" w:rsidR="007066F6" w:rsidRDefault="007066F6" w:rsidP="00346BE3">
            <w:pPr>
              <w:tabs>
                <w:tab w:val="left" w:pos="900"/>
              </w:tabs>
              <w:jc w:val="center"/>
            </w:pPr>
            <w:r>
              <w:t>31,370</w:t>
            </w:r>
          </w:p>
        </w:tc>
        <w:tc>
          <w:tcPr>
            <w:tcW w:w="1724" w:type="dxa"/>
          </w:tcPr>
          <w:p w14:paraId="6F484919" w14:textId="77777777" w:rsidR="007066F6" w:rsidRDefault="007066F6" w:rsidP="00346BE3">
            <w:pPr>
              <w:tabs>
                <w:tab w:val="left" w:pos="900"/>
              </w:tabs>
              <w:jc w:val="center"/>
            </w:pPr>
            <w:r>
              <w:t>31,278</w:t>
            </w:r>
          </w:p>
        </w:tc>
        <w:tc>
          <w:tcPr>
            <w:tcW w:w="1724" w:type="dxa"/>
          </w:tcPr>
          <w:p w14:paraId="4329481B" w14:textId="77777777" w:rsidR="007066F6" w:rsidRDefault="007066F6" w:rsidP="00346BE3">
            <w:pPr>
              <w:tabs>
                <w:tab w:val="left" w:pos="900"/>
              </w:tabs>
              <w:jc w:val="center"/>
            </w:pPr>
            <w:r>
              <w:t>31,522</w:t>
            </w:r>
          </w:p>
        </w:tc>
      </w:tr>
      <w:tr w:rsidR="007066F6" w14:paraId="583121A7" w14:textId="77777777" w:rsidTr="007066F6">
        <w:tc>
          <w:tcPr>
            <w:tcW w:w="2581" w:type="dxa"/>
          </w:tcPr>
          <w:p w14:paraId="6028E75B" w14:textId="77777777" w:rsidR="007066F6" w:rsidRPr="00B359EC" w:rsidRDefault="007066F6" w:rsidP="00464B3C">
            <w:pPr>
              <w:spacing w:before="20" w:after="20"/>
              <w:rPr>
                <w:b/>
              </w:rPr>
            </w:pPr>
            <w:proofErr w:type="spellStart"/>
            <w:r w:rsidRPr="00B359EC">
              <w:rPr>
                <w:b/>
              </w:rPr>
              <w:t>Nagelkerke</w:t>
            </w:r>
            <w:proofErr w:type="spellEnd"/>
            <w:r w:rsidRPr="00B359EC">
              <w:rPr>
                <w:b/>
              </w:rPr>
              <w:t xml:space="preserve"> R</w:t>
            </w:r>
            <w:r w:rsidRPr="00B359EC">
              <w:rPr>
                <w:b/>
                <w:vertAlign w:val="superscript"/>
              </w:rPr>
              <w:t>2</w:t>
            </w:r>
          </w:p>
        </w:tc>
        <w:tc>
          <w:tcPr>
            <w:tcW w:w="1823" w:type="dxa"/>
            <w:vAlign w:val="center"/>
          </w:tcPr>
          <w:p w14:paraId="1C406727" w14:textId="77777777" w:rsidR="007066F6" w:rsidRDefault="007066F6" w:rsidP="00346BE3">
            <w:pPr>
              <w:tabs>
                <w:tab w:val="left" w:pos="900"/>
              </w:tabs>
              <w:jc w:val="center"/>
            </w:pPr>
            <w:r>
              <w:t>.017</w:t>
            </w:r>
          </w:p>
        </w:tc>
        <w:tc>
          <w:tcPr>
            <w:tcW w:w="1724" w:type="dxa"/>
          </w:tcPr>
          <w:p w14:paraId="6DC1F584" w14:textId="77777777" w:rsidR="007066F6" w:rsidRDefault="007066F6" w:rsidP="00346BE3">
            <w:pPr>
              <w:tabs>
                <w:tab w:val="left" w:pos="900"/>
              </w:tabs>
              <w:jc w:val="center"/>
            </w:pPr>
            <w:r>
              <w:t>.039</w:t>
            </w:r>
          </w:p>
        </w:tc>
        <w:tc>
          <w:tcPr>
            <w:tcW w:w="1724" w:type="dxa"/>
          </w:tcPr>
          <w:p w14:paraId="44F4CB8E" w14:textId="77777777" w:rsidR="007066F6" w:rsidRDefault="007066F6" w:rsidP="00346BE3">
            <w:pPr>
              <w:tabs>
                <w:tab w:val="left" w:pos="900"/>
              </w:tabs>
              <w:jc w:val="center"/>
            </w:pPr>
            <w:r>
              <w:t>.032</w:t>
            </w:r>
          </w:p>
        </w:tc>
        <w:tc>
          <w:tcPr>
            <w:tcW w:w="1724" w:type="dxa"/>
          </w:tcPr>
          <w:p w14:paraId="7E31D123" w14:textId="77777777" w:rsidR="007066F6" w:rsidRDefault="007066F6" w:rsidP="00346BE3">
            <w:pPr>
              <w:tabs>
                <w:tab w:val="left" w:pos="900"/>
              </w:tabs>
              <w:jc w:val="center"/>
            </w:pPr>
            <w:r>
              <w:t>.027</w:t>
            </w:r>
          </w:p>
        </w:tc>
      </w:tr>
      <w:tr w:rsidR="007066F6" w14:paraId="0AB09342" w14:textId="77777777" w:rsidTr="007066F6">
        <w:tc>
          <w:tcPr>
            <w:tcW w:w="2581" w:type="dxa"/>
          </w:tcPr>
          <w:p w14:paraId="6FE4D9E8" w14:textId="77777777" w:rsidR="007066F6" w:rsidRPr="00B359EC" w:rsidRDefault="007066F6" w:rsidP="00464B3C">
            <w:pPr>
              <w:spacing w:before="20" w:after="20"/>
              <w:rPr>
                <w:b/>
              </w:rPr>
            </w:pPr>
            <w:r>
              <w:rPr>
                <w:b/>
              </w:rPr>
              <w:t xml:space="preserve">Hosmer and </w:t>
            </w:r>
            <w:proofErr w:type="spellStart"/>
            <w:r>
              <w:rPr>
                <w:b/>
              </w:rPr>
              <w:t>Lemeshow</w:t>
            </w:r>
            <w:proofErr w:type="spellEnd"/>
            <w:r>
              <w:rPr>
                <w:b/>
              </w:rPr>
              <w:t xml:space="preserve"> Test</w:t>
            </w:r>
          </w:p>
        </w:tc>
        <w:tc>
          <w:tcPr>
            <w:tcW w:w="1823" w:type="dxa"/>
            <w:vAlign w:val="center"/>
          </w:tcPr>
          <w:p w14:paraId="39889C1B" w14:textId="77777777" w:rsidR="007066F6" w:rsidRDefault="007066F6" w:rsidP="007066F6">
            <w:pPr>
              <w:tabs>
                <w:tab w:val="left" w:pos="900"/>
              </w:tabs>
              <w:jc w:val="center"/>
            </w:pPr>
            <w:r>
              <w:t>.990</w:t>
            </w:r>
          </w:p>
        </w:tc>
        <w:tc>
          <w:tcPr>
            <w:tcW w:w="1724" w:type="dxa"/>
            <w:vAlign w:val="center"/>
          </w:tcPr>
          <w:p w14:paraId="48D99758" w14:textId="77777777" w:rsidR="007066F6" w:rsidRDefault="007066F6" w:rsidP="007066F6">
            <w:pPr>
              <w:tabs>
                <w:tab w:val="left" w:pos="900"/>
              </w:tabs>
              <w:jc w:val="center"/>
            </w:pPr>
            <w:r>
              <w:t>.996</w:t>
            </w:r>
          </w:p>
        </w:tc>
        <w:tc>
          <w:tcPr>
            <w:tcW w:w="1724" w:type="dxa"/>
            <w:vAlign w:val="center"/>
          </w:tcPr>
          <w:p w14:paraId="5E8FD525" w14:textId="77777777" w:rsidR="007066F6" w:rsidRDefault="007066F6" w:rsidP="007066F6">
            <w:pPr>
              <w:tabs>
                <w:tab w:val="left" w:pos="900"/>
              </w:tabs>
              <w:jc w:val="center"/>
            </w:pPr>
            <w:r>
              <w:t>.990</w:t>
            </w:r>
          </w:p>
        </w:tc>
        <w:tc>
          <w:tcPr>
            <w:tcW w:w="1724" w:type="dxa"/>
            <w:vAlign w:val="center"/>
          </w:tcPr>
          <w:p w14:paraId="4EF0E5E6" w14:textId="77777777" w:rsidR="007066F6" w:rsidRDefault="007066F6" w:rsidP="007066F6">
            <w:pPr>
              <w:tabs>
                <w:tab w:val="left" w:pos="900"/>
              </w:tabs>
              <w:jc w:val="center"/>
            </w:pPr>
            <w:r>
              <w:t>.990</w:t>
            </w:r>
          </w:p>
        </w:tc>
      </w:tr>
    </w:tbl>
    <w:p w14:paraId="330DF144" w14:textId="77777777" w:rsidR="00B35516" w:rsidRDefault="00B35516" w:rsidP="00B35516">
      <w:pPr>
        <w:spacing w:after="0"/>
        <w:ind w:left="720" w:hanging="720"/>
      </w:pPr>
      <w:r>
        <w:t xml:space="preserve">Notes: </w:t>
      </w:r>
      <w:r>
        <w:tab/>
        <w:t>1. The regressions control for county variations in prescriber location via a dichotomous variable   for each county (results not shown).</w:t>
      </w:r>
    </w:p>
    <w:p w14:paraId="38ED9093" w14:textId="77777777" w:rsidR="00B35516" w:rsidRDefault="00B35516" w:rsidP="006C6BB5">
      <w:pPr>
        <w:spacing w:after="0"/>
        <w:ind w:left="720"/>
      </w:pPr>
      <w:r>
        <w:t xml:space="preserve">2. Odds ratios significant at the .05 level are shown in </w:t>
      </w:r>
      <w:r w:rsidRPr="008D099F">
        <w:rPr>
          <w:b/>
        </w:rPr>
        <w:t>bold</w:t>
      </w:r>
      <w:r>
        <w:t>.</w:t>
      </w:r>
    </w:p>
    <w:p w14:paraId="0CD02D33" w14:textId="77777777" w:rsidR="006C6BB5" w:rsidRDefault="006C6BB5" w:rsidP="006C6BB5">
      <w:pPr>
        <w:spacing w:after="0"/>
        <w:ind w:left="720"/>
      </w:pPr>
    </w:p>
    <w:p w14:paraId="2962B02E" w14:textId="77777777" w:rsidR="00E91F5F" w:rsidRDefault="006C6BB5" w:rsidP="00E91F5F">
      <w:pPr>
        <w:tabs>
          <w:tab w:val="left" w:pos="900"/>
        </w:tabs>
      </w:pPr>
      <w:r>
        <w:t xml:space="preserve">We also examined the effects of shared-patient ties, based on buprenorphine prescriptions, of non-waivered prescribers with waivered prescribers in 2011. Of the 583 non-waivered Massachusetts prescribers who wrote a buprenorphine prescription in 2011, only 7 became initially waivered in 2012. This number was too small to reliably analyze associations with shared-patient ties. When combined </w:t>
      </w:r>
      <w:r>
        <w:lastRenderedPageBreak/>
        <w:t>with the</w:t>
      </w:r>
      <w:r w:rsidR="00931B08">
        <w:t xml:space="preserve"> non-buprenorphine shared-patient ties, the addition of the buprenorphine shared-patient ties did not alter the association with becoming waivered </w:t>
      </w:r>
      <w:r w:rsidR="00D95A0E">
        <w:t>shown</w:t>
      </w:r>
      <w:r w:rsidR="00931B08">
        <w:t xml:space="preserve"> in Table IV.1 above.</w:t>
      </w:r>
    </w:p>
    <w:p w14:paraId="4A0DA675" w14:textId="77777777" w:rsidR="00F809C0" w:rsidRDefault="00536E02" w:rsidP="00E91F5F">
      <w:pPr>
        <w:tabs>
          <w:tab w:val="left" w:pos="900"/>
        </w:tabs>
      </w:pPr>
      <w:r>
        <w:t>We conducted analyses for non-buprenorphine shared-patient ties in 2014, similar to those shown above for 2011. Specifically, we used logistic regression to test the effect, for non-waivered prescribers, of having one or more non-buprenorphine shared-patient ties (of at least 10 patients) with a waivered prescriber in 2014, on the likelihood of initially becoming waivered in 2015, 2016, or 2017, and on the likelihood of initially becoming waivered in any of the three years 2015-2017. As shown in Table IV.2a below, the effects on initially becoming waivered in all three years were significant (p &lt; .001)</w:t>
      </w:r>
      <w:r w:rsidR="00914DCF">
        <w:t>;</w:t>
      </w:r>
      <w:r>
        <w:t xml:space="preserve"> </w:t>
      </w:r>
      <w:r w:rsidR="00914DCF">
        <w:t>having at least one non-buprenorphine shared-patient tie with a waivered prescriber in 2014 increased the</w:t>
      </w:r>
      <w:r>
        <w:t xml:space="preserve"> likelihood of becoming waivered by more than 400% in each case</w:t>
      </w:r>
      <w:r w:rsidR="00914DCF">
        <w:t>, versus having no non-buprenorphine shared-patient ties with a waivered prescriber.</w:t>
      </w:r>
    </w:p>
    <w:p w14:paraId="08B7B6DE" w14:textId="77777777" w:rsidR="00F809C0" w:rsidRPr="00346BE3" w:rsidRDefault="00F809C0" w:rsidP="00F809C0">
      <w:pPr>
        <w:spacing w:after="120"/>
        <w:rPr>
          <w:b/>
        </w:rPr>
      </w:pPr>
      <w:r w:rsidRPr="00346BE3">
        <w:rPr>
          <w:b/>
        </w:rPr>
        <w:t>Table IV.</w:t>
      </w:r>
      <w:r w:rsidR="00536E02">
        <w:rPr>
          <w:b/>
        </w:rPr>
        <w:t>2a</w:t>
      </w:r>
      <w:r w:rsidR="00914DCF">
        <w:rPr>
          <w:b/>
        </w:rPr>
        <w:t xml:space="preserve"> and IV.2b</w:t>
      </w:r>
      <w:r w:rsidRPr="00346BE3">
        <w:rPr>
          <w:b/>
        </w:rPr>
        <w:t>: Logistic regression</w:t>
      </w:r>
      <w:r w:rsidR="006C7F07">
        <w:rPr>
          <w:b/>
        </w:rPr>
        <w:t>s</w:t>
      </w:r>
      <w:r w:rsidRPr="00346BE3">
        <w:rPr>
          <w:b/>
        </w:rPr>
        <w:t xml:space="preserve"> on becoming waivered for 30 patients in Massachusetts, 201</w:t>
      </w:r>
      <w:r w:rsidR="00536E02">
        <w:rPr>
          <w:b/>
        </w:rPr>
        <w:t>5</w:t>
      </w:r>
      <w:r>
        <w:rPr>
          <w:b/>
        </w:rPr>
        <w:t>, 201</w:t>
      </w:r>
      <w:r w:rsidR="00536E02">
        <w:rPr>
          <w:b/>
        </w:rPr>
        <w:t>6</w:t>
      </w:r>
      <w:r>
        <w:rPr>
          <w:b/>
        </w:rPr>
        <w:t>, or 201</w:t>
      </w:r>
      <w:r w:rsidR="00536E02">
        <w:rPr>
          <w:b/>
        </w:rPr>
        <w:t>7</w:t>
      </w:r>
    </w:p>
    <w:p w14:paraId="0AEF0665" w14:textId="77777777" w:rsidR="00F809C0" w:rsidRDefault="00914DCF" w:rsidP="00F809C0">
      <w:pPr>
        <w:spacing w:after="0"/>
        <w:rPr>
          <w:b/>
        </w:rPr>
      </w:pPr>
      <w:r>
        <w:rPr>
          <w:b/>
        </w:rPr>
        <w:t xml:space="preserve">IV.2a. </w:t>
      </w:r>
      <w:r w:rsidR="00F809C0" w:rsidRPr="00346BE3">
        <w:rPr>
          <w:b/>
        </w:rPr>
        <w:t xml:space="preserve">Dependent variable: Becoming waivered </w:t>
      </w:r>
    </w:p>
    <w:p w14:paraId="0ED4F675" w14:textId="77777777" w:rsidR="00F809C0" w:rsidRPr="00346BE3" w:rsidRDefault="00F809C0" w:rsidP="00F809C0">
      <w:pPr>
        <w:spacing w:after="0"/>
        <w:rPr>
          <w:b/>
        </w:rPr>
      </w:pPr>
      <w:r>
        <w:rPr>
          <w:b/>
        </w:rPr>
        <w:t>f</w:t>
      </w:r>
      <w:r w:rsidRPr="00346BE3">
        <w:rPr>
          <w:b/>
        </w:rPr>
        <w:t>or 30 patients in</w:t>
      </w:r>
      <w:r>
        <w:rPr>
          <w:b/>
        </w:rPr>
        <w:t>:</w:t>
      </w:r>
      <w:r w:rsidRPr="00346BE3">
        <w:rPr>
          <w:b/>
        </w:rPr>
        <w:t xml:space="preserve"> </w:t>
      </w:r>
      <w:r>
        <w:rPr>
          <w:b/>
        </w:rPr>
        <w:tab/>
      </w:r>
      <w:r>
        <w:rPr>
          <w:b/>
        </w:rPr>
        <w:tab/>
        <w:t xml:space="preserve">   </w:t>
      </w:r>
      <w:r w:rsidRPr="00346BE3">
        <w:rPr>
          <w:b/>
        </w:rPr>
        <w:t>201</w:t>
      </w:r>
      <w:r w:rsidR="00536E02">
        <w:rPr>
          <w:b/>
        </w:rPr>
        <w:t>5</w:t>
      </w:r>
      <w:r>
        <w:rPr>
          <w:b/>
        </w:rPr>
        <w:tab/>
      </w:r>
      <w:r>
        <w:rPr>
          <w:b/>
        </w:rPr>
        <w:tab/>
        <w:t xml:space="preserve">           201</w:t>
      </w:r>
      <w:r w:rsidR="00536E02">
        <w:rPr>
          <w:b/>
        </w:rPr>
        <w:t>6</w:t>
      </w:r>
      <w:r>
        <w:rPr>
          <w:b/>
        </w:rPr>
        <w:tab/>
      </w:r>
      <w:proofErr w:type="gramStart"/>
      <w:r>
        <w:rPr>
          <w:b/>
        </w:rPr>
        <w:tab/>
        <w:t xml:space="preserve">  201</w:t>
      </w:r>
      <w:r w:rsidR="00536E02">
        <w:rPr>
          <w:b/>
        </w:rPr>
        <w:t>7</w:t>
      </w:r>
      <w:proofErr w:type="gramEnd"/>
      <w:r>
        <w:rPr>
          <w:b/>
        </w:rPr>
        <w:tab/>
      </w:r>
      <w:r>
        <w:rPr>
          <w:b/>
        </w:rPr>
        <w:tab/>
        <w:t xml:space="preserve">   201</w:t>
      </w:r>
      <w:r w:rsidR="00536E02">
        <w:rPr>
          <w:b/>
        </w:rPr>
        <w:t>5</w:t>
      </w:r>
      <w:r>
        <w:rPr>
          <w:b/>
        </w:rPr>
        <w:t>-201</w:t>
      </w:r>
      <w:r w:rsidR="00536E02">
        <w:rPr>
          <w:b/>
        </w:rPr>
        <w:t>7</w:t>
      </w:r>
    </w:p>
    <w:tbl>
      <w:tblPr>
        <w:tblStyle w:val="TableGrid"/>
        <w:tblW w:w="0" w:type="auto"/>
        <w:tblLook w:val="04A0" w:firstRow="1" w:lastRow="0" w:firstColumn="1" w:lastColumn="0" w:noHBand="0" w:noVBand="1"/>
      </w:tblPr>
      <w:tblGrid>
        <w:gridCol w:w="2581"/>
        <w:gridCol w:w="1823"/>
        <w:gridCol w:w="1724"/>
        <w:gridCol w:w="1724"/>
        <w:gridCol w:w="1724"/>
      </w:tblGrid>
      <w:tr w:rsidR="00F809C0" w14:paraId="2485042E" w14:textId="77777777" w:rsidTr="00B30B86">
        <w:tc>
          <w:tcPr>
            <w:tcW w:w="2581" w:type="dxa"/>
          </w:tcPr>
          <w:p w14:paraId="1AFFAEF6" w14:textId="77777777" w:rsidR="00F809C0" w:rsidRPr="00346BE3" w:rsidRDefault="00F809C0" w:rsidP="00B30B86">
            <w:pPr>
              <w:tabs>
                <w:tab w:val="left" w:pos="900"/>
              </w:tabs>
              <w:rPr>
                <w:b/>
              </w:rPr>
            </w:pPr>
            <w:r w:rsidRPr="00346BE3">
              <w:rPr>
                <w:b/>
              </w:rPr>
              <w:t>Predictors</w:t>
            </w:r>
            <w:r>
              <w:rPr>
                <w:b/>
              </w:rPr>
              <w:t>:</w:t>
            </w:r>
          </w:p>
        </w:tc>
        <w:tc>
          <w:tcPr>
            <w:tcW w:w="1823" w:type="dxa"/>
            <w:vAlign w:val="center"/>
          </w:tcPr>
          <w:p w14:paraId="5DE7DFA5" w14:textId="77777777" w:rsidR="00F809C0" w:rsidRPr="00346BE3" w:rsidRDefault="00F809C0" w:rsidP="00B30B86">
            <w:pPr>
              <w:tabs>
                <w:tab w:val="left" w:pos="900"/>
              </w:tabs>
              <w:jc w:val="center"/>
              <w:rPr>
                <w:b/>
              </w:rPr>
            </w:pPr>
            <w:r>
              <w:rPr>
                <w:b/>
              </w:rPr>
              <w:t>OR</w:t>
            </w:r>
            <w:r w:rsidRPr="00346BE3">
              <w:rPr>
                <w:b/>
              </w:rPr>
              <w:t xml:space="preserve"> (95% CI)</w:t>
            </w:r>
          </w:p>
        </w:tc>
        <w:tc>
          <w:tcPr>
            <w:tcW w:w="1724" w:type="dxa"/>
          </w:tcPr>
          <w:p w14:paraId="237B9356" w14:textId="77777777" w:rsidR="00F809C0" w:rsidRDefault="00F809C0" w:rsidP="00B30B86">
            <w:pPr>
              <w:tabs>
                <w:tab w:val="left" w:pos="900"/>
              </w:tabs>
              <w:jc w:val="center"/>
              <w:rPr>
                <w:b/>
              </w:rPr>
            </w:pPr>
            <w:r>
              <w:rPr>
                <w:b/>
              </w:rPr>
              <w:t>OR</w:t>
            </w:r>
            <w:r w:rsidRPr="00346BE3">
              <w:rPr>
                <w:b/>
              </w:rPr>
              <w:t xml:space="preserve"> (95% CI)</w:t>
            </w:r>
          </w:p>
        </w:tc>
        <w:tc>
          <w:tcPr>
            <w:tcW w:w="1724" w:type="dxa"/>
          </w:tcPr>
          <w:p w14:paraId="56D00E47" w14:textId="77777777" w:rsidR="00F809C0" w:rsidRDefault="00F809C0" w:rsidP="00B30B86">
            <w:pPr>
              <w:tabs>
                <w:tab w:val="left" w:pos="900"/>
              </w:tabs>
              <w:jc w:val="center"/>
              <w:rPr>
                <w:b/>
              </w:rPr>
            </w:pPr>
            <w:r>
              <w:rPr>
                <w:b/>
              </w:rPr>
              <w:t>OR</w:t>
            </w:r>
            <w:r w:rsidRPr="00346BE3">
              <w:rPr>
                <w:b/>
              </w:rPr>
              <w:t xml:space="preserve"> (95% CI)</w:t>
            </w:r>
          </w:p>
        </w:tc>
        <w:tc>
          <w:tcPr>
            <w:tcW w:w="1724" w:type="dxa"/>
          </w:tcPr>
          <w:p w14:paraId="06C090F0" w14:textId="77777777" w:rsidR="00F809C0" w:rsidRDefault="00F809C0" w:rsidP="00B30B86">
            <w:pPr>
              <w:tabs>
                <w:tab w:val="left" w:pos="900"/>
              </w:tabs>
              <w:jc w:val="center"/>
              <w:rPr>
                <w:b/>
              </w:rPr>
            </w:pPr>
            <w:r>
              <w:rPr>
                <w:b/>
              </w:rPr>
              <w:t>OR</w:t>
            </w:r>
            <w:r w:rsidRPr="00346BE3">
              <w:rPr>
                <w:b/>
              </w:rPr>
              <w:t xml:space="preserve"> (95% CI)</w:t>
            </w:r>
          </w:p>
        </w:tc>
      </w:tr>
      <w:tr w:rsidR="00F809C0" w14:paraId="0A16F677" w14:textId="77777777" w:rsidTr="00B30B86">
        <w:tc>
          <w:tcPr>
            <w:tcW w:w="2581" w:type="dxa"/>
          </w:tcPr>
          <w:p w14:paraId="1DFE2D02" w14:textId="77777777" w:rsidR="00F809C0" w:rsidRPr="00346BE3" w:rsidRDefault="00F809C0" w:rsidP="00536E02">
            <w:pPr>
              <w:tabs>
                <w:tab w:val="left" w:pos="900"/>
              </w:tabs>
              <w:rPr>
                <w:b/>
              </w:rPr>
            </w:pPr>
            <w:r w:rsidRPr="00346BE3">
              <w:rPr>
                <w:b/>
              </w:rPr>
              <w:t>Having at least one shared-patient tie with a waivered prescriber in 201</w:t>
            </w:r>
            <w:r w:rsidR="00536E02">
              <w:rPr>
                <w:b/>
              </w:rPr>
              <w:t>4</w:t>
            </w:r>
          </w:p>
        </w:tc>
        <w:tc>
          <w:tcPr>
            <w:tcW w:w="1823" w:type="dxa"/>
            <w:vAlign w:val="center"/>
          </w:tcPr>
          <w:p w14:paraId="3B116677" w14:textId="77777777" w:rsidR="00F809C0" w:rsidRPr="004C3B61" w:rsidRDefault="00536E02" w:rsidP="00B30B86">
            <w:pPr>
              <w:tabs>
                <w:tab w:val="left" w:pos="900"/>
              </w:tabs>
              <w:jc w:val="center"/>
              <w:rPr>
                <w:b/>
              </w:rPr>
            </w:pPr>
            <w:r>
              <w:rPr>
                <w:b/>
              </w:rPr>
              <w:t>6.333 (3.223, 12.443)</w:t>
            </w:r>
          </w:p>
        </w:tc>
        <w:tc>
          <w:tcPr>
            <w:tcW w:w="1724" w:type="dxa"/>
            <w:vAlign w:val="center"/>
          </w:tcPr>
          <w:p w14:paraId="2594BAAC" w14:textId="77777777" w:rsidR="00F809C0" w:rsidRPr="004C3B61" w:rsidRDefault="00536E02" w:rsidP="00B30B86">
            <w:pPr>
              <w:tabs>
                <w:tab w:val="left" w:pos="900"/>
              </w:tabs>
              <w:jc w:val="center"/>
              <w:rPr>
                <w:b/>
              </w:rPr>
            </w:pPr>
            <w:r>
              <w:rPr>
                <w:b/>
              </w:rPr>
              <w:t>4.311 (2.456, 7.566)</w:t>
            </w:r>
          </w:p>
        </w:tc>
        <w:tc>
          <w:tcPr>
            <w:tcW w:w="1724" w:type="dxa"/>
            <w:vAlign w:val="center"/>
          </w:tcPr>
          <w:p w14:paraId="55CA3159" w14:textId="77777777" w:rsidR="00F809C0" w:rsidRPr="004C3B61" w:rsidRDefault="00536E02" w:rsidP="00B30B86">
            <w:pPr>
              <w:tabs>
                <w:tab w:val="left" w:pos="900"/>
              </w:tabs>
              <w:jc w:val="center"/>
              <w:rPr>
                <w:b/>
              </w:rPr>
            </w:pPr>
            <w:r>
              <w:rPr>
                <w:b/>
              </w:rPr>
              <w:t>4.324 (2.679, 6.981)</w:t>
            </w:r>
          </w:p>
        </w:tc>
        <w:tc>
          <w:tcPr>
            <w:tcW w:w="1724" w:type="dxa"/>
            <w:vAlign w:val="center"/>
          </w:tcPr>
          <w:p w14:paraId="48D40D81" w14:textId="77777777" w:rsidR="00F809C0" w:rsidRPr="004C3B61" w:rsidRDefault="00536E02" w:rsidP="00B30B86">
            <w:pPr>
              <w:tabs>
                <w:tab w:val="left" w:pos="900"/>
              </w:tabs>
              <w:jc w:val="center"/>
              <w:rPr>
                <w:b/>
              </w:rPr>
            </w:pPr>
            <w:r>
              <w:rPr>
                <w:b/>
              </w:rPr>
              <w:t>4.784 (3.439, 6.654)</w:t>
            </w:r>
          </w:p>
        </w:tc>
      </w:tr>
      <w:tr w:rsidR="00F809C0" w14:paraId="4BCDC740" w14:textId="77777777" w:rsidTr="00B30B86">
        <w:tc>
          <w:tcPr>
            <w:tcW w:w="2581" w:type="dxa"/>
          </w:tcPr>
          <w:p w14:paraId="2DF9FC96" w14:textId="77777777" w:rsidR="00F809C0" w:rsidRPr="00346BE3" w:rsidRDefault="00F809C0" w:rsidP="00B30B86">
            <w:pPr>
              <w:tabs>
                <w:tab w:val="left" w:pos="900"/>
              </w:tabs>
              <w:rPr>
                <w:b/>
              </w:rPr>
            </w:pPr>
            <w:r w:rsidRPr="00346BE3">
              <w:rPr>
                <w:b/>
              </w:rPr>
              <w:t>Constant</w:t>
            </w:r>
          </w:p>
        </w:tc>
        <w:tc>
          <w:tcPr>
            <w:tcW w:w="1823" w:type="dxa"/>
            <w:vAlign w:val="center"/>
          </w:tcPr>
          <w:p w14:paraId="6A5BD9A9" w14:textId="77777777" w:rsidR="00F809C0" w:rsidRPr="00B35516" w:rsidRDefault="00536E02" w:rsidP="00B30B86">
            <w:pPr>
              <w:tabs>
                <w:tab w:val="left" w:pos="900"/>
              </w:tabs>
              <w:jc w:val="center"/>
              <w:rPr>
                <w:b/>
              </w:rPr>
            </w:pPr>
            <w:r>
              <w:rPr>
                <w:b/>
              </w:rPr>
              <w:t>.004</w:t>
            </w:r>
          </w:p>
        </w:tc>
        <w:tc>
          <w:tcPr>
            <w:tcW w:w="1724" w:type="dxa"/>
          </w:tcPr>
          <w:p w14:paraId="60BA1A0F" w14:textId="77777777" w:rsidR="00F809C0" w:rsidRPr="00B35516" w:rsidRDefault="00536E02" w:rsidP="00B30B86">
            <w:pPr>
              <w:tabs>
                <w:tab w:val="left" w:pos="900"/>
              </w:tabs>
              <w:jc w:val="center"/>
              <w:rPr>
                <w:b/>
              </w:rPr>
            </w:pPr>
            <w:r>
              <w:rPr>
                <w:b/>
              </w:rPr>
              <w:t>.006</w:t>
            </w:r>
          </w:p>
        </w:tc>
        <w:tc>
          <w:tcPr>
            <w:tcW w:w="1724" w:type="dxa"/>
          </w:tcPr>
          <w:p w14:paraId="5E86A057" w14:textId="77777777" w:rsidR="00F809C0" w:rsidRPr="00B35516" w:rsidRDefault="00536E02" w:rsidP="00B30B86">
            <w:pPr>
              <w:tabs>
                <w:tab w:val="left" w:pos="900"/>
              </w:tabs>
              <w:jc w:val="center"/>
              <w:rPr>
                <w:b/>
              </w:rPr>
            </w:pPr>
            <w:r>
              <w:rPr>
                <w:b/>
              </w:rPr>
              <w:t>.006</w:t>
            </w:r>
          </w:p>
        </w:tc>
        <w:tc>
          <w:tcPr>
            <w:tcW w:w="1724" w:type="dxa"/>
          </w:tcPr>
          <w:p w14:paraId="6DC22336" w14:textId="77777777" w:rsidR="00F809C0" w:rsidRPr="00B35516" w:rsidRDefault="00536E02" w:rsidP="00B30B86">
            <w:pPr>
              <w:tabs>
                <w:tab w:val="left" w:pos="900"/>
              </w:tabs>
              <w:jc w:val="center"/>
              <w:rPr>
                <w:b/>
              </w:rPr>
            </w:pPr>
            <w:r>
              <w:rPr>
                <w:b/>
              </w:rPr>
              <w:t>.012</w:t>
            </w:r>
          </w:p>
        </w:tc>
      </w:tr>
      <w:tr w:rsidR="00F809C0" w14:paraId="17AD90F8" w14:textId="77777777" w:rsidTr="00B30B86">
        <w:tc>
          <w:tcPr>
            <w:tcW w:w="2581" w:type="dxa"/>
          </w:tcPr>
          <w:p w14:paraId="3061CD2D" w14:textId="77777777" w:rsidR="00F809C0" w:rsidRDefault="00F809C0" w:rsidP="00B30B86">
            <w:pPr>
              <w:tabs>
                <w:tab w:val="left" w:pos="900"/>
              </w:tabs>
            </w:pPr>
          </w:p>
        </w:tc>
        <w:tc>
          <w:tcPr>
            <w:tcW w:w="1823" w:type="dxa"/>
            <w:vAlign w:val="center"/>
          </w:tcPr>
          <w:p w14:paraId="3308F28B" w14:textId="77777777" w:rsidR="00F809C0" w:rsidRDefault="00F809C0" w:rsidP="00B30B86">
            <w:pPr>
              <w:tabs>
                <w:tab w:val="left" w:pos="900"/>
              </w:tabs>
              <w:jc w:val="center"/>
            </w:pPr>
          </w:p>
        </w:tc>
        <w:tc>
          <w:tcPr>
            <w:tcW w:w="1724" w:type="dxa"/>
          </w:tcPr>
          <w:p w14:paraId="794D8500" w14:textId="77777777" w:rsidR="00F809C0" w:rsidRDefault="00F809C0" w:rsidP="00B30B86">
            <w:pPr>
              <w:tabs>
                <w:tab w:val="left" w:pos="900"/>
              </w:tabs>
              <w:jc w:val="center"/>
            </w:pPr>
          </w:p>
        </w:tc>
        <w:tc>
          <w:tcPr>
            <w:tcW w:w="1724" w:type="dxa"/>
          </w:tcPr>
          <w:p w14:paraId="2DF44E48" w14:textId="77777777" w:rsidR="00F809C0" w:rsidRDefault="00F809C0" w:rsidP="00B30B86">
            <w:pPr>
              <w:tabs>
                <w:tab w:val="left" w:pos="900"/>
              </w:tabs>
              <w:jc w:val="center"/>
            </w:pPr>
          </w:p>
        </w:tc>
        <w:tc>
          <w:tcPr>
            <w:tcW w:w="1724" w:type="dxa"/>
          </w:tcPr>
          <w:p w14:paraId="106BEE9C" w14:textId="77777777" w:rsidR="00F809C0" w:rsidRDefault="00F809C0" w:rsidP="00B30B86">
            <w:pPr>
              <w:tabs>
                <w:tab w:val="left" w:pos="900"/>
              </w:tabs>
              <w:jc w:val="center"/>
            </w:pPr>
          </w:p>
        </w:tc>
      </w:tr>
      <w:tr w:rsidR="00F809C0" w14:paraId="4A22B403" w14:textId="77777777" w:rsidTr="00B30B86">
        <w:tc>
          <w:tcPr>
            <w:tcW w:w="2581" w:type="dxa"/>
          </w:tcPr>
          <w:p w14:paraId="789F39B4" w14:textId="77777777" w:rsidR="00F809C0" w:rsidRPr="00346BE3" w:rsidRDefault="00F809C0" w:rsidP="00B30B86">
            <w:pPr>
              <w:tabs>
                <w:tab w:val="left" w:pos="900"/>
              </w:tabs>
              <w:rPr>
                <w:b/>
              </w:rPr>
            </w:pPr>
            <w:r w:rsidRPr="00346BE3">
              <w:rPr>
                <w:b/>
              </w:rPr>
              <w:t>N</w:t>
            </w:r>
          </w:p>
        </w:tc>
        <w:tc>
          <w:tcPr>
            <w:tcW w:w="1823" w:type="dxa"/>
            <w:vAlign w:val="center"/>
          </w:tcPr>
          <w:p w14:paraId="0F75B6C3" w14:textId="77777777" w:rsidR="00F809C0" w:rsidRDefault="00536E02" w:rsidP="00B30B86">
            <w:pPr>
              <w:tabs>
                <w:tab w:val="left" w:pos="900"/>
              </w:tabs>
              <w:jc w:val="center"/>
            </w:pPr>
            <w:r>
              <w:t>33,454</w:t>
            </w:r>
          </w:p>
        </w:tc>
        <w:tc>
          <w:tcPr>
            <w:tcW w:w="1724" w:type="dxa"/>
          </w:tcPr>
          <w:p w14:paraId="31F120CC" w14:textId="77777777" w:rsidR="00F809C0" w:rsidRDefault="00536E02" w:rsidP="00B30B86">
            <w:pPr>
              <w:tabs>
                <w:tab w:val="left" w:pos="900"/>
              </w:tabs>
              <w:jc w:val="center"/>
            </w:pPr>
            <w:r>
              <w:t>33,345</w:t>
            </w:r>
          </w:p>
        </w:tc>
        <w:tc>
          <w:tcPr>
            <w:tcW w:w="1724" w:type="dxa"/>
          </w:tcPr>
          <w:p w14:paraId="0A83F04E" w14:textId="77777777" w:rsidR="00F809C0" w:rsidRDefault="00536E02" w:rsidP="00B30B86">
            <w:pPr>
              <w:tabs>
                <w:tab w:val="left" w:pos="900"/>
              </w:tabs>
              <w:jc w:val="center"/>
            </w:pPr>
            <w:r>
              <w:t>33,131</w:t>
            </w:r>
          </w:p>
        </w:tc>
        <w:tc>
          <w:tcPr>
            <w:tcW w:w="1724" w:type="dxa"/>
          </w:tcPr>
          <w:p w14:paraId="02A68AAD" w14:textId="77777777" w:rsidR="00F809C0" w:rsidRDefault="00536E02" w:rsidP="00B30B86">
            <w:pPr>
              <w:tabs>
                <w:tab w:val="left" w:pos="900"/>
              </w:tabs>
              <w:jc w:val="center"/>
            </w:pPr>
            <w:r>
              <w:t>33,454</w:t>
            </w:r>
          </w:p>
        </w:tc>
      </w:tr>
      <w:tr w:rsidR="00F809C0" w14:paraId="5EA15B21" w14:textId="77777777" w:rsidTr="00B30B86">
        <w:tc>
          <w:tcPr>
            <w:tcW w:w="2581" w:type="dxa"/>
          </w:tcPr>
          <w:p w14:paraId="3060B487" w14:textId="77777777" w:rsidR="00F809C0" w:rsidRPr="00B359EC" w:rsidRDefault="00F809C0" w:rsidP="00B30B86">
            <w:pPr>
              <w:spacing w:before="20" w:after="20"/>
              <w:rPr>
                <w:b/>
              </w:rPr>
            </w:pPr>
            <w:proofErr w:type="spellStart"/>
            <w:r w:rsidRPr="00B359EC">
              <w:rPr>
                <w:b/>
              </w:rPr>
              <w:t>Nagelkerke</w:t>
            </w:r>
            <w:proofErr w:type="spellEnd"/>
            <w:r w:rsidRPr="00B359EC">
              <w:rPr>
                <w:b/>
              </w:rPr>
              <w:t xml:space="preserve"> R</w:t>
            </w:r>
            <w:r w:rsidRPr="00B359EC">
              <w:rPr>
                <w:b/>
                <w:vertAlign w:val="superscript"/>
              </w:rPr>
              <w:t>2</w:t>
            </w:r>
          </w:p>
        </w:tc>
        <w:tc>
          <w:tcPr>
            <w:tcW w:w="1823" w:type="dxa"/>
            <w:vAlign w:val="center"/>
          </w:tcPr>
          <w:p w14:paraId="08FA7CEF" w14:textId="77777777" w:rsidR="00F809C0" w:rsidRDefault="00536E02" w:rsidP="00B30B86">
            <w:pPr>
              <w:tabs>
                <w:tab w:val="left" w:pos="900"/>
              </w:tabs>
              <w:jc w:val="center"/>
            </w:pPr>
            <w:r>
              <w:t>.028</w:t>
            </w:r>
          </w:p>
        </w:tc>
        <w:tc>
          <w:tcPr>
            <w:tcW w:w="1724" w:type="dxa"/>
          </w:tcPr>
          <w:p w14:paraId="0C9780CB" w14:textId="77777777" w:rsidR="00F809C0" w:rsidRDefault="00536E02" w:rsidP="00B30B86">
            <w:pPr>
              <w:tabs>
                <w:tab w:val="left" w:pos="900"/>
              </w:tabs>
              <w:jc w:val="center"/>
            </w:pPr>
            <w:r>
              <w:t>.018</w:t>
            </w:r>
          </w:p>
        </w:tc>
        <w:tc>
          <w:tcPr>
            <w:tcW w:w="1724" w:type="dxa"/>
          </w:tcPr>
          <w:p w14:paraId="2B34A66B" w14:textId="77777777" w:rsidR="00F809C0" w:rsidRDefault="00536E02" w:rsidP="00B30B86">
            <w:pPr>
              <w:tabs>
                <w:tab w:val="left" w:pos="900"/>
              </w:tabs>
              <w:jc w:val="center"/>
            </w:pPr>
            <w:r>
              <w:t>.034</w:t>
            </w:r>
          </w:p>
        </w:tc>
        <w:tc>
          <w:tcPr>
            <w:tcW w:w="1724" w:type="dxa"/>
          </w:tcPr>
          <w:p w14:paraId="1DE112F7" w14:textId="77777777" w:rsidR="00F809C0" w:rsidRDefault="00536E02" w:rsidP="00B30B86">
            <w:pPr>
              <w:tabs>
                <w:tab w:val="left" w:pos="900"/>
              </w:tabs>
              <w:jc w:val="center"/>
            </w:pPr>
            <w:r>
              <w:t>.027</w:t>
            </w:r>
          </w:p>
        </w:tc>
      </w:tr>
      <w:tr w:rsidR="00F809C0" w14:paraId="686E7C24" w14:textId="77777777" w:rsidTr="00B30B86">
        <w:tc>
          <w:tcPr>
            <w:tcW w:w="2581" w:type="dxa"/>
          </w:tcPr>
          <w:p w14:paraId="6F31F32D" w14:textId="77777777" w:rsidR="00F809C0" w:rsidRPr="00B359EC" w:rsidRDefault="00F809C0" w:rsidP="00B30B86">
            <w:pPr>
              <w:spacing w:before="20" w:after="20"/>
              <w:rPr>
                <w:b/>
              </w:rPr>
            </w:pPr>
            <w:r>
              <w:rPr>
                <w:b/>
              </w:rPr>
              <w:t xml:space="preserve">Hosmer and </w:t>
            </w:r>
            <w:proofErr w:type="spellStart"/>
            <w:r>
              <w:rPr>
                <w:b/>
              </w:rPr>
              <w:t>Lemeshow</w:t>
            </w:r>
            <w:proofErr w:type="spellEnd"/>
            <w:r>
              <w:rPr>
                <w:b/>
              </w:rPr>
              <w:t xml:space="preserve"> Test</w:t>
            </w:r>
          </w:p>
        </w:tc>
        <w:tc>
          <w:tcPr>
            <w:tcW w:w="1823" w:type="dxa"/>
            <w:vAlign w:val="center"/>
          </w:tcPr>
          <w:p w14:paraId="6A4AFEA8" w14:textId="77777777" w:rsidR="00F809C0" w:rsidRDefault="00536E02" w:rsidP="00B30B86">
            <w:pPr>
              <w:tabs>
                <w:tab w:val="left" w:pos="900"/>
              </w:tabs>
              <w:jc w:val="center"/>
            </w:pPr>
            <w:r>
              <w:t>.955</w:t>
            </w:r>
          </w:p>
        </w:tc>
        <w:tc>
          <w:tcPr>
            <w:tcW w:w="1724" w:type="dxa"/>
            <w:vAlign w:val="center"/>
          </w:tcPr>
          <w:p w14:paraId="5A184FDE" w14:textId="77777777" w:rsidR="00F809C0" w:rsidRDefault="00536E02" w:rsidP="00B30B86">
            <w:pPr>
              <w:tabs>
                <w:tab w:val="left" w:pos="900"/>
              </w:tabs>
              <w:jc w:val="center"/>
            </w:pPr>
            <w:r>
              <w:t>.999</w:t>
            </w:r>
          </w:p>
        </w:tc>
        <w:tc>
          <w:tcPr>
            <w:tcW w:w="1724" w:type="dxa"/>
            <w:vAlign w:val="center"/>
          </w:tcPr>
          <w:p w14:paraId="71BCD382" w14:textId="77777777" w:rsidR="00F809C0" w:rsidRDefault="00536E02" w:rsidP="00B30B86">
            <w:pPr>
              <w:tabs>
                <w:tab w:val="left" w:pos="900"/>
              </w:tabs>
              <w:jc w:val="center"/>
            </w:pPr>
            <w:r>
              <w:t>.975</w:t>
            </w:r>
          </w:p>
        </w:tc>
        <w:tc>
          <w:tcPr>
            <w:tcW w:w="1724" w:type="dxa"/>
            <w:vAlign w:val="center"/>
          </w:tcPr>
          <w:p w14:paraId="740B1696" w14:textId="77777777" w:rsidR="00F809C0" w:rsidRDefault="00536E02" w:rsidP="00B30B86">
            <w:pPr>
              <w:tabs>
                <w:tab w:val="left" w:pos="900"/>
              </w:tabs>
              <w:jc w:val="center"/>
            </w:pPr>
            <w:r>
              <w:t>.989</w:t>
            </w:r>
          </w:p>
        </w:tc>
      </w:tr>
    </w:tbl>
    <w:p w14:paraId="719D5076" w14:textId="77777777" w:rsidR="00F809C0" w:rsidRDefault="00F809C0" w:rsidP="00F809C0">
      <w:pPr>
        <w:spacing w:after="0"/>
        <w:ind w:left="720" w:hanging="720"/>
      </w:pPr>
      <w:r>
        <w:t xml:space="preserve">Notes: </w:t>
      </w:r>
      <w:r>
        <w:tab/>
        <w:t>1. The regressions control for county variations in prescriber location via a dichotomous variable   for each county (results not shown).</w:t>
      </w:r>
    </w:p>
    <w:p w14:paraId="3B24A179" w14:textId="77777777" w:rsidR="00F809C0" w:rsidRDefault="00F809C0" w:rsidP="00F809C0">
      <w:pPr>
        <w:spacing w:after="0"/>
        <w:ind w:left="720"/>
      </w:pPr>
      <w:r>
        <w:t xml:space="preserve">2. Odds ratios significant at the .05 level are shown in </w:t>
      </w:r>
      <w:r w:rsidRPr="008D099F">
        <w:rPr>
          <w:b/>
        </w:rPr>
        <w:t>bold</w:t>
      </w:r>
      <w:r>
        <w:t>.</w:t>
      </w:r>
    </w:p>
    <w:p w14:paraId="07537A4C" w14:textId="77777777" w:rsidR="00F809C0" w:rsidRDefault="00F809C0" w:rsidP="00143AEE">
      <w:pPr>
        <w:spacing w:after="0"/>
        <w:rPr>
          <w:b/>
        </w:rPr>
      </w:pPr>
    </w:p>
    <w:p w14:paraId="28877932" w14:textId="77777777" w:rsidR="00143AEE" w:rsidRPr="00143AEE" w:rsidRDefault="00143AEE" w:rsidP="00143AEE">
      <w:pPr>
        <w:spacing w:after="0"/>
      </w:pPr>
      <w:r>
        <w:t xml:space="preserve">We further tested the effects of </w:t>
      </w:r>
      <w:r w:rsidR="006C7F07">
        <w:t xml:space="preserve">the </w:t>
      </w:r>
      <w:r>
        <w:t xml:space="preserve">number of non-buprenorphine shared-patient ties in 2014 </w:t>
      </w:r>
      <w:r w:rsidR="006C7F07">
        <w:t xml:space="preserve">(as opposed to having one or more such ties or not) </w:t>
      </w:r>
      <w:r>
        <w:t xml:space="preserve">on becoming waivered in each of the next three years. As shown in Table IV.2b below, these effects were also significant </w:t>
      </w:r>
      <w:r w:rsidR="00EC2EC5">
        <w:t xml:space="preserve">(p &lt; .001 except for 2016, where p = .012). </w:t>
      </w:r>
      <w:r w:rsidR="006C7F07">
        <w:t>For example</w:t>
      </w:r>
      <w:r w:rsidR="00EC2EC5">
        <w:t>, each additional non-buprenorphine shared-patient tie with a waivered prescriber in 2014 increased the likelihood of initially becoming waivered in any of the next three years (2015-2017) by about 48%.</w:t>
      </w:r>
      <w:r w:rsidR="00AD353D">
        <w:t xml:space="preserve"> In contrast, for non-buprenorphine shared-patient ties in 2011, the number of such ties was not a significant predictor of initially becoming waivered in 2012, 2013, or 2014. That is, having ties beyond one did not increase the likelihood of initially becoming waivered in subsequent years.</w:t>
      </w:r>
    </w:p>
    <w:p w14:paraId="704146DB" w14:textId="77777777" w:rsidR="00143AEE" w:rsidRDefault="00143AEE" w:rsidP="00143AEE">
      <w:pPr>
        <w:spacing w:after="0"/>
        <w:rPr>
          <w:b/>
        </w:rPr>
      </w:pPr>
    </w:p>
    <w:p w14:paraId="13483BA5" w14:textId="77777777" w:rsidR="00AD353D" w:rsidRDefault="00AD353D" w:rsidP="00F809C0">
      <w:pPr>
        <w:spacing w:after="0"/>
        <w:rPr>
          <w:b/>
        </w:rPr>
      </w:pPr>
    </w:p>
    <w:p w14:paraId="5524D4A0" w14:textId="77777777" w:rsidR="00AD353D" w:rsidRDefault="00AD353D" w:rsidP="00F809C0">
      <w:pPr>
        <w:spacing w:after="0"/>
        <w:rPr>
          <w:b/>
        </w:rPr>
      </w:pPr>
    </w:p>
    <w:p w14:paraId="00FDD3FF" w14:textId="77777777" w:rsidR="00F809C0" w:rsidRDefault="00143AEE" w:rsidP="00F809C0">
      <w:pPr>
        <w:spacing w:after="0"/>
        <w:rPr>
          <w:b/>
        </w:rPr>
      </w:pPr>
      <w:r>
        <w:rPr>
          <w:b/>
        </w:rPr>
        <w:lastRenderedPageBreak/>
        <w:t xml:space="preserve">IV.2b. </w:t>
      </w:r>
      <w:r w:rsidR="00F809C0" w:rsidRPr="00346BE3">
        <w:rPr>
          <w:b/>
        </w:rPr>
        <w:t xml:space="preserve">Dependent variable: Becoming waivered </w:t>
      </w:r>
    </w:p>
    <w:p w14:paraId="24BA9742" w14:textId="77777777" w:rsidR="00F809C0" w:rsidRPr="00346BE3" w:rsidRDefault="00F809C0" w:rsidP="00F809C0">
      <w:pPr>
        <w:spacing w:after="0"/>
        <w:rPr>
          <w:b/>
        </w:rPr>
      </w:pPr>
      <w:r>
        <w:rPr>
          <w:b/>
        </w:rPr>
        <w:t>f</w:t>
      </w:r>
      <w:r w:rsidRPr="00346BE3">
        <w:rPr>
          <w:b/>
        </w:rPr>
        <w:t>or 30 patients in</w:t>
      </w:r>
      <w:r>
        <w:rPr>
          <w:b/>
        </w:rPr>
        <w:t>:</w:t>
      </w:r>
      <w:r w:rsidRPr="00346BE3">
        <w:rPr>
          <w:b/>
        </w:rPr>
        <w:t xml:space="preserve"> </w:t>
      </w:r>
      <w:r>
        <w:rPr>
          <w:b/>
        </w:rPr>
        <w:tab/>
      </w:r>
      <w:r>
        <w:rPr>
          <w:b/>
        </w:rPr>
        <w:tab/>
        <w:t xml:space="preserve">   </w:t>
      </w:r>
      <w:r w:rsidRPr="00346BE3">
        <w:rPr>
          <w:b/>
        </w:rPr>
        <w:t>201</w:t>
      </w:r>
      <w:r w:rsidR="00143AEE">
        <w:rPr>
          <w:b/>
        </w:rPr>
        <w:t>5</w:t>
      </w:r>
      <w:r>
        <w:rPr>
          <w:b/>
        </w:rPr>
        <w:tab/>
      </w:r>
      <w:r>
        <w:rPr>
          <w:b/>
        </w:rPr>
        <w:tab/>
        <w:t xml:space="preserve">           201</w:t>
      </w:r>
      <w:r w:rsidR="00143AEE">
        <w:rPr>
          <w:b/>
        </w:rPr>
        <w:t>6</w:t>
      </w:r>
      <w:r>
        <w:rPr>
          <w:b/>
        </w:rPr>
        <w:tab/>
      </w:r>
      <w:proofErr w:type="gramStart"/>
      <w:r>
        <w:rPr>
          <w:b/>
        </w:rPr>
        <w:tab/>
        <w:t xml:space="preserve">  201</w:t>
      </w:r>
      <w:r w:rsidR="00143AEE">
        <w:rPr>
          <w:b/>
        </w:rPr>
        <w:t>7</w:t>
      </w:r>
      <w:proofErr w:type="gramEnd"/>
      <w:r>
        <w:rPr>
          <w:b/>
        </w:rPr>
        <w:tab/>
      </w:r>
      <w:r>
        <w:rPr>
          <w:b/>
        </w:rPr>
        <w:tab/>
        <w:t xml:space="preserve">   201</w:t>
      </w:r>
      <w:r w:rsidR="00143AEE">
        <w:rPr>
          <w:b/>
        </w:rPr>
        <w:t>5</w:t>
      </w:r>
      <w:r>
        <w:rPr>
          <w:b/>
        </w:rPr>
        <w:t>-201</w:t>
      </w:r>
      <w:r w:rsidR="00143AEE">
        <w:rPr>
          <w:b/>
        </w:rPr>
        <w:t>7</w:t>
      </w:r>
    </w:p>
    <w:tbl>
      <w:tblPr>
        <w:tblStyle w:val="TableGrid"/>
        <w:tblW w:w="0" w:type="auto"/>
        <w:tblLook w:val="04A0" w:firstRow="1" w:lastRow="0" w:firstColumn="1" w:lastColumn="0" w:noHBand="0" w:noVBand="1"/>
      </w:tblPr>
      <w:tblGrid>
        <w:gridCol w:w="2581"/>
        <w:gridCol w:w="1823"/>
        <w:gridCol w:w="1724"/>
        <w:gridCol w:w="1724"/>
        <w:gridCol w:w="1724"/>
      </w:tblGrid>
      <w:tr w:rsidR="00F809C0" w14:paraId="3E1BE3D2" w14:textId="77777777" w:rsidTr="00B30B86">
        <w:tc>
          <w:tcPr>
            <w:tcW w:w="2581" w:type="dxa"/>
          </w:tcPr>
          <w:p w14:paraId="25498C9B" w14:textId="77777777" w:rsidR="00F809C0" w:rsidRPr="00346BE3" w:rsidRDefault="00F809C0" w:rsidP="00B30B86">
            <w:pPr>
              <w:tabs>
                <w:tab w:val="left" w:pos="900"/>
              </w:tabs>
              <w:rPr>
                <w:b/>
              </w:rPr>
            </w:pPr>
            <w:r w:rsidRPr="00346BE3">
              <w:rPr>
                <w:b/>
              </w:rPr>
              <w:t>Predictors</w:t>
            </w:r>
            <w:r>
              <w:rPr>
                <w:b/>
              </w:rPr>
              <w:t>:</w:t>
            </w:r>
          </w:p>
        </w:tc>
        <w:tc>
          <w:tcPr>
            <w:tcW w:w="1823" w:type="dxa"/>
            <w:vAlign w:val="center"/>
          </w:tcPr>
          <w:p w14:paraId="11A3DC2F" w14:textId="77777777" w:rsidR="00F809C0" w:rsidRPr="00346BE3" w:rsidRDefault="00F809C0" w:rsidP="00B30B86">
            <w:pPr>
              <w:tabs>
                <w:tab w:val="left" w:pos="900"/>
              </w:tabs>
              <w:jc w:val="center"/>
              <w:rPr>
                <w:b/>
              </w:rPr>
            </w:pPr>
            <w:r>
              <w:rPr>
                <w:b/>
              </w:rPr>
              <w:t>OR</w:t>
            </w:r>
            <w:r w:rsidRPr="00346BE3">
              <w:rPr>
                <w:b/>
              </w:rPr>
              <w:t xml:space="preserve"> (95% CI)</w:t>
            </w:r>
          </w:p>
        </w:tc>
        <w:tc>
          <w:tcPr>
            <w:tcW w:w="1724" w:type="dxa"/>
          </w:tcPr>
          <w:p w14:paraId="5642A5F1" w14:textId="77777777" w:rsidR="00F809C0" w:rsidRDefault="00F809C0" w:rsidP="00B30B86">
            <w:pPr>
              <w:tabs>
                <w:tab w:val="left" w:pos="900"/>
              </w:tabs>
              <w:jc w:val="center"/>
              <w:rPr>
                <w:b/>
              </w:rPr>
            </w:pPr>
            <w:r>
              <w:rPr>
                <w:b/>
              </w:rPr>
              <w:t>OR</w:t>
            </w:r>
            <w:r w:rsidRPr="00346BE3">
              <w:rPr>
                <w:b/>
              </w:rPr>
              <w:t xml:space="preserve"> (95% CI)</w:t>
            </w:r>
          </w:p>
        </w:tc>
        <w:tc>
          <w:tcPr>
            <w:tcW w:w="1724" w:type="dxa"/>
          </w:tcPr>
          <w:p w14:paraId="55E4ECD9" w14:textId="77777777" w:rsidR="00F809C0" w:rsidRDefault="00F809C0" w:rsidP="00B30B86">
            <w:pPr>
              <w:tabs>
                <w:tab w:val="left" w:pos="900"/>
              </w:tabs>
              <w:jc w:val="center"/>
              <w:rPr>
                <w:b/>
              </w:rPr>
            </w:pPr>
            <w:r>
              <w:rPr>
                <w:b/>
              </w:rPr>
              <w:t>OR</w:t>
            </w:r>
            <w:r w:rsidRPr="00346BE3">
              <w:rPr>
                <w:b/>
              </w:rPr>
              <w:t xml:space="preserve"> (95% CI)</w:t>
            </w:r>
          </w:p>
        </w:tc>
        <w:tc>
          <w:tcPr>
            <w:tcW w:w="1724" w:type="dxa"/>
          </w:tcPr>
          <w:p w14:paraId="4A5F1E58" w14:textId="77777777" w:rsidR="00F809C0" w:rsidRDefault="00F809C0" w:rsidP="00B30B86">
            <w:pPr>
              <w:tabs>
                <w:tab w:val="left" w:pos="900"/>
              </w:tabs>
              <w:jc w:val="center"/>
              <w:rPr>
                <w:b/>
              </w:rPr>
            </w:pPr>
            <w:r>
              <w:rPr>
                <w:b/>
              </w:rPr>
              <w:t>OR</w:t>
            </w:r>
            <w:r w:rsidRPr="00346BE3">
              <w:rPr>
                <w:b/>
              </w:rPr>
              <w:t xml:space="preserve"> (95% CI)</w:t>
            </w:r>
          </w:p>
        </w:tc>
      </w:tr>
      <w:tr w:rsidR="00F809C0" w14:paraId="0CF88AC0" w14:textId="77777777" w:rsidTr="00B30B86">
        <w:tc>
          <w:tcPr>
            <w:tcW w:w="2581" w:type="dxa"/>
          </w:tcPr>
          <w:p w14:paraId="4EFFBE90" w14:textId="77777777" w:rsidR="00F809C0" w:rsidRPr="00346BE3" w:rsidRDefault="00143AEE" w:rsidP="00143AEE">
            <w:pPr>
              <w:tabs>
                <w:tab w:val="left" w:pos="900"/>
              </w:tabs>
              <w:rPr>
                <w:b/>
              </w:rPr>
            </w:pPr>
            <w:r>
              <w:rPr>
                <w:b/>
              </w:rPr>
              <w:t>Number of</w:t>
            </w:r>
            <w:r w:rsidR="00F809C0" w:rsidRPr="00346BE3">
              <w:rPr>
                <w:b/>
              </w:rPr>
              <w:t xml:space="preserve"> shared-patient tie</w:t>
            </w:r>
            <w:r>
              <w:rPr>
                <w:b/>
              </w:rPr>
              <w:t>s</w:t>
            </w:r>
            <w:r w:rsidR="00F809C0" w:rsidRPr="00346BE3">
              <w:rPr>
                <w:b/>
              </w:rPr>
              <w:t xml:space="preserve"> with a waivered prescriber in 201</w:t>
            </w:r>
            <w:r>
              <w:rPr>
                <w:b/>
              </w:rPr>
              <w:t>4</w:t>
            </w:r>
          </w:p>
        </w:tc>
        <w:tc>
          <w:tcPr>
            <w:tcW w:w="1823" w:type="dxa"/>
            <w:vAlign w:val="center"/>
          </w:tcPr>
          <w:p w14:paraId="443E7AE5" w14:textId="77777777" w:rsidR="00F809C0" w:rsidRPr="004C3B61" w:rsidRDefault="00143AEE" w:rsidP="00B30B86">
            <w:pPr>
              <w:tabs>
                <w:tab w:val="left" w:pos="900"/>
              </w:tabs>
              <w:jc w:val="center"/>
              <w:rPr>
                <w:b/>
              </w:rPr>
            </w:pPr>
            <w:r>
              <w:rPr>
                <w:b/>
              </w:rPr>
              <w:t>1.562 (1.287, 1.896)</w:t>
            </w:r>
          </w:p>
        </w:tc>
        <w:tc>
          <w:tcPr>
            <w:tcW w:w="1724" w:type="dxa"/>
            <w:vAlign w:val="center"/>
          </w:tcPr>
          <w:p w14:paraId="2BFD8234" w14:textId="77777777" w:rsidR="00F809C0" w:rsidRPr="004C3B61" w:rsidRDefault="00143AEE" w:rsidP="00B30B86">
            <w:pPr>
              <w:tabs>
                <w:tab w:val="left" w:pos="900"/>
              </w:tabs>
              <w:jc w:val="center"/>
              <w:rPr>
                <w:b/>
              </w:rPr>
            </w:pPr>
            <w:r>
              <w:rPr>
                <w:b/>
              </w:rPr>
              <w:t>1.282 (1.056, 1.556)</w:t>
            </w:r>
          </w:p>
        </w:tc>
        <w:tc>
          <w:tcPr>
            <w:tcW w:w="1724" w:type="dxa"/>
            <w:vAlign w:val="center"/>
          </w:tcPr>
          <w:p w14:paraId="3778C4A8" w14:textId="77777777" w:rsidR="00F809C0" w:rsidRPr="004C3B61" w:rsidRDefault="00143AEE" w:rsidP="00B30B86">
            <w:pPr>
              <w:tabs>
                <w:tab w:val="left" w:pos="900"/>
              </w:tabs>
              <w:jc w:val="center"/>
              <w:rPr>
                <w:b/>
              </w:rPr>
            </w:pPr>
            <w:r>
              <w:rPr>
                <w:b/>
              </w:rPr>
              <w:t>1.442 (1.267, 1.641)</w:t>
            </w:r>
          </w:p>
        </w:tc>
        <w:tc>
          <w:tcPr>
            <w:tcW w:w="1724" w:type="dxa"/>
            <w:vAlign w:val="center"/>
          </w:tcPr>
          <w:p w14:paraId="2F1D2A9D" w14:textId="77777777" w:rsidR="00F809C0" w:rsidRPr="004C3B61" w:rsidRDefault="00143AEE" w:rsidP="00B30B86">
            <w:pPr>
              <w:tabs>
                <w:tab w:val="left" w:pos="900"/>
              </w:tabs>
              <w:jc w:val="center"/>
              <w:rPr>
                <w:b/>
              </w:rPr>
            </w:pPr>
            <w:r>
              <w:rPr>
                <w:b/>
              </w:rPr>
              <w:t>1.476 (1.318, 1.652)</w:t>
            </w:r>
          </w:p>
        </w:tc>
      </w:tr>
      <w:tr w:rsidR="00F809C0" w14:paraId="42BA1E42" w14:textId="77777777" w:rsidTr="00B30B86">
        <w:tc>
          <w:tcPr>
            <w:tcW w:w="2581" w:type="dxa"/>
          </w:tcPr>
          <w:p w14:paraId="35EFA6B1" w14:textId="77777777" w:rsidR="00F809C0" w:rsidRPr="00346BE3" w:rsidRDefault="00F809C0" w:rsidP="00B30B86">
            <w:pPr>
              <w:tabs>
                <w:tab w:val="left" w:pos="900"/>
              </w:tabs>
              <w:rPr>
                <w:b/>
              </w:rPr>
            </w:pPr>
            <w:r w:rsidRPr="00346BE3">
              <w:rPr>
                <w:b/>
              </w:rPr>
              <w:t>Constant</w:t>
            </w:r>
          </w:p>
        </w:tc>
        <w:tc>
          <w:tcPr>
            <w:tcW w:w="1823" w:type="dxa"/>
            <w:vAlign w:val="center"/>
          </w:tcPr>
          <w:p w14:paraId="45DA9DF5" w14:textId="77777777" w:rsidR="00F809C0" w:rsidRPr="00B35516" w:rsidRDefault="00143AEE" w:rsidP="00B30B86">
            <w:pPr>
              <w:tabs>
                <w:tab w:val="left" w:pos="900"/>
              </w:tabs>
              <w:jc w:val="center"/>
              <w:rPr>
                <w:b/>
              </w:rPr>
            </w:pPr>
            <w:r>
              <w:rPr>
                <w:b/>
              </w:rPr>
              <w:t>.005</w:t>
            </w:r>
          </w:p>
        </w:tc>
        <w:tc>
          <w:tcPr>
            <w:tcW w:w="1724" w:type="dxa"/>
          </w:tcPr>
          <w:p w14:paraId="6EEA88AF" w14:textId="77777777" w:rsidR="00F809C0" w:rsidRPr="00B35516" w:rsidRDefault="00143AEE" w:rsidP="00B30B86">
            <w:pPr>
              <w:tabs>
                <w:tab w:val="left" w:pos="900"/>
              </w:tabs>
              <w:jc w:val="center"/>
              <w:rPr>
                <w:b/>
              </w:rPr>
            </w:pPr>
            <w:r>
              <w:rPr>
                <w:b/>
              </w:rPr>
              <w:t>.006</w:t>
            </w:r>
          </w:p>
        </w:tc>
        <w:tc>
          <w:tcPr>
            <w:tcW w:w="1724" w:type="dxa"/>
          </w:tcPr>
          <w:p w14:paraId="368A82C2" w14:textId="77777777" w:rsidR="00F809C0" w:rsidRPr="00B35516" w:rsidRDefault="00143AEE" w:rsidP="00B30B86">
            <w:pPr>
              <w:tabs>
                <w:tab w:val="left" w:pos="900"/>
              </w:tabs>
              <w:jc w:val="center"/>
              <w:rPr>
                <w:b/>
              </w:rPr>
            </w:pPr>
            <w:r>
              <w:rPr>
                <w:b/>
              </w:rPr>
              <w:t>.006</w:t>
            </w:r>
          </w:p>
        </w:tc>
        <w:tc>
          <w:tcPr>
            <w:tcW w:w="1724" w:type="dxa"/>
          </w:tcPr>
          <w:p w14:paraId="7AC71694" w14:textId="77777777" w:rsidR="00F809C0" w:rsidRPr="00B35516" w:rsidRDefault="00143AEE" w:rsidP="00B30B86">
            <w:pPr>
              <w:tabs>
                <w:tab w:val="left" w:pos="900"/>
              </w:tabs>
              <w:jc w:val="center"/>
              <w:rPr>
                <w:b/>
              </w:rPr>
            </w:pPr>
            <w:r>
              <w:rPr>
                <w:b/>
              </w:rPr>
              <w:t>.013</w:t>
            </w:r>
          </w:p>
        </w:tc>
      </w:tr>
      <w:tr w:rsidR="00F809C0" w14:paraId="649C817F" w14:textId="77777777" w:rsidTr="00B30B86">
        <w:tc>
          <w:tcPr>
            <w:tcW w:w="2581" w:type="dxa"/>
          </w:tcPr>
          <w:p w14:paraId="7927926E" w14:textId="77777777" w:rsidR="00F809C0" w:rsidRDefault="00F809C0" w:rsidP="00B30B86">
            <w:pPr>
              <w:tabs>
                <w:tab w:val="left" w:pos="900"/>
              </w:tabs>
            </w:pPr>
          </w:p>
        </w:tc>
        <w:tc>
          <w:tcPr>
            <w:tcW w:w="1823" w:type="dxa"/>
            <w:vAlign w:val="center"/>
          </w:tcPr>
          <w:p w14:paraId="7E297899" w14:textId="77777777" w:rsidR="00F809C0" w:rsidRDefault="00F809C0" w:rsidP="00B30B86">
            <w:pPr>
              <w:tabs>
                <w:tab w:val="left" w:pos="900"/>
              </w:tabs>
              <w:jc w:val="center"/>
            </w:pPr>
          </w:p>
        </w:tc>
        <w:tc>
          <w:tcPr>
            <w:tcW w:w="1724" w:type="dxa"/>
          </w:tcPr>
          <w:p w14:paraId="1804827E" w14:textId="77777777" w:rsidR="00F809C0" w:rsidRDefault="00F809C0" w:rsidP="00B30B86">
            <w:pPr>
              <w:tabs>
                <w:tab w:val="left" w:pos="900"/>
              </w:tabs>
              <w:jc w:val="center"/>
            </w:pPr>
          </w:p>
        </w:tc>
        <w:tc>
          <w:tcPr>
            <w:tcW w:w="1724" w:type="dxa"/>
          </w:tcPr>
          <w:p w14:paraId="000EC776" w14:textId="77777777" w:rsidR="00F809C0" w:rsidRDefault="00F809C0" w:rsidP="00B30B86">
            <w:pPr>
              <w:tabs>
                <w:tab w:val="left" w:pos="900"/>
              </w:tabs>
              <w:jc w:val="center"/>
            </w:pPr>
          </w:p>
        </w:tc>
        <w:tc>
          <w:tcPr>
            <w:tcW w:w="1724" w:type="dxa"/>
          </w:tcPr>
          <w:p w14:paraId="5206A95F" w14:textId="77777777" w:rsidR="00F809C0" w:rsidRDefault="00F809C0" w:rsidP="00B30B86">
            <w:pPr>
              <w:tabs>
                <w:tab w:val="left" w:pos="900"/>
              </w:tabs>
              <w:jc w:val="center"/>
            </w:pPr>
          </w:p>
        </w:tc>
      </w:tr>
      <w:tr w:rsidR="00143AEE" w14:paraId="566F51AC" w14:textId="77777777" w:rsidTr="00B30B86">
        <w:tc>
          <w:tcPr>
            <w:tcW w:w="2581" w:type="dxa"/>
          </w:tcPr>
          <w:p w14:paraId="6320C066" w14:textId="77777777" w:rsidR="00143AEE" w:rsidRPr="00346BE3" w:rsidRDefault="00143AEE" w:rsidP="00B30B86">
            <w:pPr>
              <w:tabs>
                <w:tab w:val="left" w:pos="900"/>
              </w:tabs>
              <w:rPr>
                <w:b/>
              </w:rPr>
            </w:pPr>
            <w:r w:rsidRPr="00346BE3">
              <w:rPr>
                <w:b/>
              </w:rPr>
              <w:t>N</w:t>
            </w:r>
          </w:p>
        </w:tc>
        <w:tc>
          <w:tcPr>
            <w:tcW w:w="1823" w:type="dxa"/>
            <w:vAlign w:val="center"/>
          </w:tcPr>
          <w:p w14:paraId="7A81EC08" w14:textId="77777777" w:rsidR="00143AEE" w:rsidRDefault="00143AEE" w:rsidP="00B30B86">
            <w:pPr>
              <w:tabs>
                <w:tab w:val="left" w:pos="900"/>
              </w:tabs>
              <w:jc w:val="center"/>
            </w:pPr>
            <w:r>
              <w:t>33,454</w:t>
            </w:r>
          </w:p>
        </w:tc>
        <w:tc>
          <w:tcPr>
            <w:tcW w:w="1724" w:type="dxa"/>
          </w:tcPr>
          <w:p w14:paraId="6548ED15" w14:textId="77777777" w:rsidR="00143AEE" w:rsidRDefault="00143AEE" w:rsidP="00B30B86">
            <w:pPr>
              <w:tabs>
                <w:tab w:val="left" w:pos="900"/>
              </w:tabs>
              <w:jc w:val="center"/>
            </w:pPr>
            <w:r>
              <w:t>33,345</w:t>
            </w:r>
          </w:p>
        </w:tc>
        <w:tc>
          <w:tcPr>
            <w:tcW w:w="1724" w:type="dxa"/>
          </w:tcPr>
          <w:p w14:paraId="39BC3A56" w14:textId="77777777" w:rsidR="00143AEE" w:rsidRDefault="00143AEE" w:rsidP="00B30B86">
            <w:pPr>
              <w:tabs>
                <w:tab w:val="left" w:pos="900"/>
              </w:tabs>
              <w:jc w:val="center"/>
            </w:pPr>
            <w:r>
              <w:t>33,131</w:t>
            </w:r>
          </w:p>
        </w:tc>
        <w:tc>
          <w:tcPr>
            <w:tcW w:w="1724" w:type="dxa"/>
          </w:tcPr>
          <w:p w14:paraId="0516CAD0" w14:textId="77777777" w:rsidR="00143AEE" w:rsidRDefault="00143AEE" w:rsidP="00B30B86">
            <w:pPr>
              <w:tabs>
                <w:tab w:val="left" w:pos="900"/>
              </w:tabs>
              <w:jc w:val="center"/>
            </w:pPr>
            <w:r>
              <w:t>33,454</w:t>
            </w:r>
          </w:p>
        </w:tc>
      </w:tr>
      <w:tr w:rsidR="00F809C0" w14:paraId="7FB92482" w14:textId="77777777" w:rsidTr="00B30B86">
        <w:tc>
          <w:tcPr>
            <w:tcW w:w="2581" w:type="dxa"/>
          </w:tcPr>
          <w:p w14:paraId="079D1199" w14:textId="77777777" w:rsidR="00F809C0" w:rsidRPr="00B359EC" w:rsidRDefault="00F809C0" w:rsidP="00B30B86">
            <w:pPr>
              <w:spacing w:before="20" w:after="20"/>
              <w:rPr>
                <w:b/>
              </w:rPr>
            </w:pPr>
            <w:proofErr w:type="spellStart"/>
            <w:r w:rsidRPr="00B359EC">
              <w:rPr>
                <w:b/>
              </w:rPr>
              <w:t>Nagelkerke</w:t>
            </w:r>
            <w:proofErr w:type="spellEnd"/>
            <w:r w:rsidRPr="00B359EC">
              <w:rPr>
                <w:b/>
              </w:rPr>
              <w:t xml:space="preserve"> R</w:t>
            </w:r>
            <w:r w:rsidRPr="00B359EC">
              <w:rPr>
                <w:b/>
                <w:vertAlign w:val="superscript"/>
              </w:rPr>
              <w:t>2</w:t>
            </w:r>
          </w:p>
        </w:tc>
        <w:tc>
          <w:tcPr>
            <w:tcW w:w="1823" w:type="dxa"/>
            <w:vAlign w:val="center"/>
          </w:tcPr>
          <w:p w14:paraId="2FB8D374" w14:textId="77777777" w:rsidR="00F809C0" w:rsidRDefault="00EC2EC5" w:rsidP="00B30B86">
            <w:pPr>
              <w:tabs>
                <w:tab w:val="left" w:pos="900"/>
              </w:tabs>
              <w:jc w:val="center"/>
            </w:pPr>
            <w:r>
              <w:t>.023</w:t>
            </w:r>
          </w:p>
        </w:tc>
        <w:tc>
          <w:tcPr>
            <w:tcW w:w="1724" w:type="dxa"/>
          </w:tcPr>
          <w:p w14:paraId="6094DDCF" w14:textId="77777777" w:rsidR="00F809C0" w:rsidRDefault="00143AEE" w:rsidP="00B30B86">
            <w:pPr>
              <w:tabs>
                <w:tab w:val="left" w:pos="900"/>
              </w:tabs>
              <w:jc w:val="center"/>
            </w:pPr>
            <w:r>
              <w:t>.012</w:t>
            </w:r>
          </w:p>
        </w:tc>
        <w:tc>
          <w:tcPr>
            <w:tcW w:w="1724" w:type="dxa"/>
          </w:tcPr>
          <w:p w14:paraId="4A0E31C7" w14:textId="77777777" w:rsidR="00F809C0" w:rsidRDefault="00143AEE" w:rsidP="00B30B86">
            <w:pPr>
              <w:tabs>
                <w:tab w:val="left" w:pos="900"/>
              </w:tabs>
              <w:jc w:val="center"/>
            </w:pPr>
            <w:r>
              <w:t>.032</w:t>
            </w:r>
          </w:p>
        </w:tc>
        <w:tc>
          <w:tcPr>
            <w:tcW w:w="1724" w:type="dxa"/>
          </w:tcPr>
          <w:p w14:paraId="1D98887F" w14:textId="77777777" w:rsidR="00F809C0" w:rsidRDefault="00143AEE" w:rsidP="00B30B86">
            <w:pPr>
              <w:tabs>
                <w:tab w:val="left" w:pos="900"/>
              </w:tabs>
              <w:jc w:val="center"/>
            </w:pPr>
            <w:r>
              <w:t>.022</w:t>
            </w:r>
          </w:p>
        </w:tc>
      </w:tr>
      <w:tr w:rsidR="00F809C0" w14:paraId="03EF1360" w14:textId="77777777" w:rsidTr="00B30B86">
        <w:tc>
          <w:tcPr>
            <w:tcW w:w="2581" w:type="dxa"/>
          </w:tcPr>
          <w:p w14:paraId="7CBA8E27" w14:textId="77777777" w:rsidR="00F809C0" w:rsidRPr="00B359EC" w:rsidRDefault="00F809C0" w:rsidP="00B30B86">
            <w:pPr>
              <w:spacing w:before="20" w:after="20"/>
              <w:rPr>
                <w:b/>
              </w:rPr>
            </w:pPr>
            <w:r>
              <w:rPr>
                <w:b/>
              </w:rPr>
              <w:t xml:space="preserve">Hosmer and </w:t>
            </w:r>
            <w:proofErr w:type="spellStart"/>
            <w:r>
              <w:rPr>
                <w:b/>
              </w:rPr>
              <w:t>Lemeshow</w:t>
            </w:r>
            <w:proofErr w:type="spellEnd"/>
            <w:r>
              <w:rPr>
                <w:b/>
              </w:rPr>
              <w:t xml:space="preserve"> Test</w:t>
            </w:r>
          </w:p>
        </w:tc>
        <w:tc>
          <w:tcPr>
            <w:tcW w:w="1823" w:type="dxa"/>
            <w:vAlign w:val="center"/>
          </w:tcPr>
          <w:p w14:paraId="1BEC62FC" w14:textId="77777777" w:rsidR="00F809C0" w:rsidRDefault="00EC2EC5" w:rsidP="00B30B86">
            <w:pPr>
              <w:tabs>
                <w:tab w:val="left" w:pos="900"/>
              </w:tabs>
              <w:jc w:val="center"/>
            </w:pPr>
            <w:r>
              <w:t>.967</w:t>
            </w:r>
          </w:p>
        </w:tc>
        <w:tc>
          <w:tcPr>
            <w:tcW w:w="1724" w:type="dxa"/>
            <w:vAlign w:val="center"/>
          </w:tcPr>
          <w:p w14:paraId="569E17EA" w14:textId="77777777" w:rsidR="00F809C0" w:rsidRDefault="00143AEE" w:rsidP="00B30B86">
            <w:pPr>
              <w:tabs>
                <w:tab w:val="left" w:pos="900"/>
              </w:tabs>
              <w:jc w:val="center"/>
            </w:pPr>
            <w:r>
              <w:t>.995</w:t>
            </w:r>
          </w:p>
        </w:tc>
        <w:tc>
          <w:tcPr>
            <w:tcW w:w="1724" w:type="dxa"/>
            <w:vAlign w:val="center"/>
          </w:tcPr>
          <w:p w14:paraId="0A0858F5" w14:textId="77777777" w:rsidR="00F809C0" w:rsidRDefault="00143AEE" w:rsidP="00B30B86">
            <w:pPr>
              <w:tabs>
                <w:tab w:val="left" w:pos="900"/>
              </w:tabs>
              <w:jc w:val="center"/>
            </w:pPr>
            <w:r>
              <w:t>.215</w:t>
            </w:r>
          </w:p>
        </w:tc>
        <w:tc>
          <w:tcPr>
            <w:tcW w:w="1724" w:type="dxa"/>
            <w:vAlign w:val="center"/>
          </w:tcPr>
          <w:p w14:paraId="7D496686" w14:textId="77777777" w:rsidR="00F809C0" w:rsidRDefault="00143AEE" w:rsidP="00B30B86">
            <w:pPr>
              <w:tabs>
                <w:tab w:val="left" w:pos="900"/>
              </w:tabs>
              <w:jc w:val="center"/>
            </w:pPr>
            <w:r>
              <w:t>.942</w:t>
            </w:r>
          </w:p>
        </w:tc>
      </w:tr>
    </w:tbl>
    <w:p w14:paraId="05C7048C" w14:textId="77777777" w:rsidR="00F809C0" w:rsidRDefault="00F809C0" w:rsidP="00F809C0">
      <w:pPr>
        <w:spacing w:after="0"/>
        <w:ind w:left="720" w:hanging="720"/>
      </w:pPr>
      <w:r>
        <w:t xml:space="preserve">Notes: </w:t>
      </w:r>
      <w:r>
        <w:tab/>
        <w:t>1. The regressions control for county variations in prescriber location via a dichotomous variable   for each county (results not shown).</w:t>
      </w:r>
    </w:p>
    <w:p w14:paraId="3F062AF4" w14:textId="77777777" w:rsidR="00F809C0" w:rsidRDefault="00F809C0" w:rsidP="00892AE4">
      <w:pPr>
        <w:ind w:left="720"/>
      </w:pPr>
      <w:r>
        <w:t xml:space="preserve">2. Odds ratios significant at the .05 level are shown in </w:t>
      </w:r>
      <w:r w:rsidRPr="008D099F">
        <w:rPr>
          <w:b/>
        </w:rPr>
        <w:t>bold</w:t>
      </w:r>
      <w:r>
        <w:t>.</w:t>
      </w:r>
    </w:p>
    <w:p w14:paraId="6AAAA00A" w14:textId="77777777" w:rsidR="00892AE4" w:rsidRDefault="00892AE4" w:rsidP="00892AE4">
      <w:pPr>
        <w:tabs>
          <w:tab w:val="left" w:pos="900"/>
        </w:tabs>
      </w:pPr>
      <w:r>
        <w:t>The apparently sustained effect of these non-buprenorphine shared-patient ties over several years led us to examine the stability of these ties from 2011 to 2014. Of the 26,284 non-waivered prescribers who were in both the 2011 and 2014 samples, 328 had one or more non-buprenorphine shared-patient ties in 2011. All 328 (100%) also had one or more non-buprenorphine shared-patient ties in 2014. Of the 25,802 prescribers with no non-buprenorphine shared-patient ties in 2011, 154 (0.6%) had such a tie in 2014. It is unknown how many of those ties may have been with non-waivered prescribers who became waivered in 2012-2014 (that is, represented existing non-buprenorphine shared-patient ties). These numbers suggest that non-waivered prescribers’ non-buprenorphine shared-patient ties with waivered prescribers tend to be very stable from year to year, and our findings of predictive effects of these ties across several years may simply reflect that.</w:t>
      </w:r>
    </w:p>
    <w:p w14:paraId="2ECA91D3" w14:textId="77777777" w:rsidR="004D6345" w:rsidRPr="00D845A9" w:rsidRDefault="00E91F5F" w:rsidP="00D845A9">
      <w:pPr>
        <w:pStyle w:val="ListParagraph"/>
        <w:numPr>
          <w:ilvl w:val="0"/>
          <w:numId w:val="7"/>
        </w:numPr>
        <w:tabs>
          <w:tab w:val="left" w:pos="900"/>
        </w:tabs>
        <w:rPr>
          <w:b/>
        </w:rPr>
      </w:pPr>
      <w:r w:rsidRPr="00E91F5F">
        <w:rPr>
          <w:b/>
        </w:rPr>
        <w:t>Becoming waivered for 100 patients</w:t>
      </w:r>
    </w:p>
    <w:p w14:paraId="2C491E99" w14:textId="77777777" w:rsidR="00D845A9" w:rsidRPr="00D845A9" w:rsidRDefault="00D845A9" w:rsidP="00D845A9">
      <w:pPr>
        <w:rPr>
          <w:b/>
        </w:rPr>
      </w:pPr>
      <w:r w:rsidRPr="00D845A9">
        <w:rPr>
          <w:b/>
        </w:rPr>
        <w:t>Methods</w:t>
      </w:r>
    </w:p>
    <w:p w14:paraId="0C27B059" w14:textId="77777777" w:rsidR="004358A8" w:rsidRDefault="004358A8" w:rsidP="006A06C5">
      <w:r>
        <w:t xml:space="preserve">Using the same shared-patient networks described in Section III above, we measured the number of shared-patient ties of at least 10 patients </w:t>
      </w:r>
      <w:r w:rsidR="00A37B75">
        <w:t xml:space="preserve">for </w:t>
      </w:r>
      <w:r>
        <w:t>each</w:t>
      </w:r>
      <w:r w:rsidR="00D845A9">
        <w:t xml:space="preserve"> waivered prescriber. </w:t>
      </w:r>
      <w:r>
        <w:t xml:space="preserve">We modeled becoming waivered for </w:t>
      </w:r>
      <w:r w:rsidR="00D845A9">
        <w:t>100</w:t>
      </w:r>
      <w:r>
        <w:t xml:space="preserve"> patients as a diffusion process, where the pool of prescribers “at risk” for becoming </w:t>
      </w:r>
      <w:r w:rsidR="00D845A9">
        <w:t>100</w:t>
      </w:r>
      <w:r>
        <w:t xml:space="preserve">-waivered in each year </w:t>
      </w:r>
      <w:r w:rsidR="00B40285">
        <w:t>wa</w:t>
      </w:r>
      <w:r>
        <w:t xml:space="preserve">s all prescribers waivered for </w:t>
      </w:r>
      <w:r w:rsidR="00D845A9">
        <w:t>3</w:t>
      </w:r>
      <w:r>
        <w:t xml:space="preserve">0 patients by the end of the prior year.  </w:t>
      </w:r>
      <w:r w:rsidR="00D845A9">
        <w:t>Because the pool of potential adopters changed each year, w</w:t>
      </w:r>
      <w:r>
        <w:t xml:space="preserve">e conducted </w:t>
      </w:r>
      <w:r w:rsidR="00D845A9">
        <w:t xml:space="preserve">separate </w:t>
      </w:r>
      <w:r>
        <w:t xml:space="preserve">logistic regressions on becoming </w:t>
      </w:r>
      <w:r w:rsidR="00D845A9">
        <w:t>100</w:t>
      </w:r>
      <w:r>
        <w:t>-waivered for each year 201</w:t>
      </w:r>
      <w:r w:rsidR="00D845A9">
        <w:t>2</w:t>
      </w:r>
      <w:r>
        <w:t xml:space="preserve"> – 2019 (data available for </w:t>
      </w:r>
      <w:r w:rsidR="00B40285">
        <w:t xml:space="preserve">the </w:t>
      </w:r>
      <w:r>
        <w:t>first 8 months of 2019 only). Predictor variables,</w:t>
      </w:r>
      <w:r w:rsidRPr="003D59A2">
        <w:t xml:space="preserve"> </w:t>
      </w:r>
      <w:r>
        <w:t xml:space="preserve">each measured for the prior year, included: median number of monthly active MOUD patients, degree – number of shared-patient ties, percent of patients who paid for at least one </w:t>
      </w:r>
      <w:r w:rsidR="00D845A9">
        <w:t>buprenorphine</w:t>
      </w:r>
      <w:r>
        <w:t xml:space="preserve"> prescription with Medicaid</w:t>
      </w:r>
      <w:r w:rsidR="00D845A9">
        <w:t xml:space="preserve"> (data only available in 2016 and later)</w:t>
      </w:r>
      <w:r>
        <w:t xml:space="preserve">, number of years the prescriber was waivered for </w:t>
      </w:r>
      <w:r w:rsidR="00D845A9">
        <w:t>3</w:t>
      </w:r>
      <w:r>
        <w:t>0 patients</w:t>
      </w:r>
      <w:r w:rsidR="00D845A9">
        <w:t>, and medical specialty (broadly categorized as physician – general, physician – psychiatry and neurology, physician – other, and physician – specialty missing</w:t>
      </w:r>
      <w:r>
        <w:t>.</w:t>
      </w:r>
      <w:r w:rsidR="00D845A9">
        <w:t xml:space="preserve"> Beginning in 2017, when nurse practitioners and physician assistants were allowed to obtain a waiver, </w:t>
      </w:r>
      <w:r w:rsidR="00D845A9">
        <w:lastRenderedPageBreak/>
        <w:t xml:space="preserve">we added a category for NP/PA.) </w:t>
      </w:r>
      <w:r>
        <w:t xml:space="preserve">For example, becoming </w:t>
      </w:r>
      <w:r w:rsidR="00D845A9">
        <w:t>100</w:t>
      </w:r>
      <w:r>
        <w:t>-waivered in 201</w:t>
      </w:r>
      <w:r w:rsidR="00D845A9">
        <w:t>2</w:t>
      </w:r>
      <w:r>
        <w:t xml:space="preserve"> was logistically regressed on these variables measured in 201</w:t>
      </w:r>
      <w:r w:rsidR="00D845A9">
        <w:t>1</w:t>
      </w:r>
      <w:r>
        <w:t>. Each regression controlled for county differences in prescriber location by means of a dichotomous variable for each county (</w:t>
      </w:r>
      <w:r w:rsidR="00D845A9">
        <w:t xml:space="preserve">county control </w:t>
      </w:r>
      <w:r>
        <w:t>results not shown in the table</w:t>
      </w:r>
      <w:r w:rsidR="00B40285">
        <w:t>s</w:t>
      </w:r>
      <w:r>
        <w:t xml:space="preserve"> below).</w:t>
      </w:r>
    </w:p>
    <w:p w14:paraId="69A4F4DC" w14:textId="77777777" w:rsidR="006A06C5" w:rsidRDefault="00DD3F9A" w:rsidP="00DD3F9A">
      <w:r>
        <w:t>Because the diffusion process had been underway for several years, we hypothesized that shared-patient ties with waivered prescribers would predict adoption of the 100-patient waiver for 2012 and later years.</w:t>
      </w:r>
      <w:r w:rsidR="00A37B75">
        <w:t xml:space="preserve"> That is, prescribers more central to the shared-patient networks </w:t>
      </w:r>
      <w:r w:rsidR="006B334D">
        <w:t xml:space="preserve">(i.e., having more ties) </w:t>
      </w:r>
      <w:r w:rsidR="00A37B75">
        <w:t>would be more likely to adopt this waiver than prescribers less central (having fewer ties).</w:t>
      </w:r>
    </w:p>
    <w:p w14:paraId="78529467" w14:textId="77777777" w:rsidR="00DD3F9A" w:rsidRPr="00DD3F9A" w:rsidRDefault="00DD3F9A" w:rsidP="00DD3F9A">
      <w:pPr>
        <w:rPr>
          <w:b/>
        </w:rPr>
      </w:pPr>
      <w:r w:rsidRPr="00DD3F9A">
        <w:rPr>
          <w:b/>
        </w:rPr>
        <w:t>Results</w:t>
      </w:r>
    </w:p>
    <w:p w14:paraId="1314369F" w14:textId="77777777" w:rsidR="00DD3F9A" w:rsidRDefault="00DD3F9A" w:rsidP="00DD3F9A">
      <w:r>
        <w:t>Tables IV.</w:t>
      </w:r>
      <w:r w:rsidR="00BE1391">
        <w:t>2</w:t>
      </w:r>
      <w:r>
        <w:t xml:space="preserve">a and </w:t>
      </w:r>
      <w:r w:rsidR="00BE1391">
        <w:t>IV.2b</w:t>
      </w:r>
      <w:r>
        <w:t xml:space="preserve"> below show the results of the logistic regressions for each year 2012 – 2019. As hypothesized, the number of shared-patient ties was a significant predictor of adoption of the 100-patient waiver for 2012 – 2014 and 2018 and 2019. It was not significant for 2015 – 2017. Other significant predictors included </w:t>
      </w:r>
      <w:r w:rsidR="00A37B75">
        <w:t>a prescriber’s</w:t>
      </w:r>
      <w:r>
        <w:t xml:space="preserve"> median number of MOUD patients in the previous year</w:t>
      </w:r>
      <w:r w:rsidR="0031073E">
        <w:t xml:space="preserve"> (except for 2019)</w:t>
      </w:r>
      <w:r>
        <w:t xml:space="preserve">, the number of years the prescriber had been waivered for 30 patients (fewer years was predictive), and (beginning in the 2016 adoptions) the percent of patients who paid for at least one buprenorphine prescription with Medicaid. We also note that </w:t>
      </w:r>
      <w:r w:rsidR="007C1C5B">
        <w:t xml:space="preserve">in 2015 </w:t>
      </w:r>
      <w:r w:rsidR="00104D88">
        <w:t>general physicians were associated with a higher likelihood of adoption, in 2018 NP/PAs were associated with a higher likelihood of adoption at the expense (statistically) of general physicians and psychiatrists/neurologists</w:t>
      </w:r>
      <w:r w:rsidR="0031073E">
        <w:t xml:space="preserve">, and in 2019 physicians – other were associated with a </w:t>
      </w:r>
      <w:r w:rsidR="004F27A9">
        <w:t>lower</w:t>
      </w:r>
      <w:r w:rsidR="0031073E">
        <w:t xml:space="preserve"> likelihood of adoption</w:t>
      </w:r>
      <w:r w:rsidR="00104D88">
        <w:t>.</w:t>
      </w:r>
    </w:p>
    <w:p w14:paraId="09802757" w14:textId="77777777" w:rsidR="004358A8" w:rsidRDefault="00A37B75" w:rsidP="004358A8">
      <w:pPr>
        <w:spacing w:after="0"/>
      </w:pPr>
      <w:r>
        <w:t>One explanation for the apparent disruption</w:t>
      </w:r>
      <w:r w:rsidR="001558A2">
        <w:t>, in 2015-2017,</w:t>
      </w:r>
      <w:r>
        <w:t xml:space="preserve"> in the predictive power of shared-patient ties for adoption of the 100-patient waiver</w:t>
      </w:r>
      <w:r w:rsidR="001558A2">
        <w:t>, is the availability of the 275-patient waiver beginning in September 2016. Eligibility for this latter waiver included having been waivered for 100 patients for at least one year. This requirement appears to have accelerated adoption of the 100-patient waiver in 2015, altering the factors previously associated with adoption. For example, the effect of years having been waivered for 30 patients on adoption of the 100-patient waiver was strongest for 2015 and 2016 compared with the other years studied. Similarly for the effect of median number of MOUD patients. These shifts appear to reflect a surge in adoption of the 100-patient waiver by prescribers newly waivered for 30 patients and by prescribers already treating higher numbers of patient who now (beginning in 2016) had the possibility of increasing their practice further.</w:t>
      </w:r>
      <w:r w:rsidR="002806FB">
        <w:t xml:space="preserve"> In Figure IV.1b above, we note an increase in the slope of the diffusion curve for the 100-patient waiver at about the beginning of 2015.</w:t>
      </w:r>
      <w:r>
        <w:t xml:space="preserve"> </w:t>
      </w:r>
    </w:p>
    <w:p w14:paraId="1471E337" w14:textId="77777777" w:rsidR="00CF585B" w:rsidRDefault="00CF585B" w:rsidP="00CF585B">
      <w:pPr>
        <w:pStyle w:val="ListParagraph"/>
        <w:ind w:left="0"/>
        <w:sectPr w:rsidR="00CF585B" w:rsidSect="004761F9">
          <w:pgSz w:w="12240" w:h="15840"/>
          <w:pgMar w:top="1440" w:right="1440" w:bottom="1440" w:left="1440" w:header="720" w:footer="720" w:gutter="0"/>
          <w:cols w:space="720"/>
          <w:docGrid w:linePitch="360"/>
        </w:sectPr>
      </w:pPr>
    </w:p>
    <w:p w14:paraId="702667B4" w14:textId="77777777" w:rsidR="004D6345" w:rsidRDefault="004D6345" w:rsidP="004D6345">
      <w:pPr>
        <w:spacing w:after="120"/>
        <w:rPr>
          <w:b/>
        </w:rPr>
      </w:pPr>
      <w:r>
        <w:rPr>
          <w:b/>
        </w:rPr>
        <w:lastRenderedPageBreak/>
        <w:t>Table IV.</w:t>
      </w:r>
      <w:r w:rsidR="00BE1391">
        <w:rPr>
          <w:b/>
        </w:rPr>
        <w:t>2</w:t>
      </w:r>
      <w:r>
        <w:rPr>
          <w:b/>
        </w:rPr>
        <w:t>a and IV.</w:t>
      </w:r>
      <w:r w:rsidR="00BE1391">
        <w:rPr>
          <w:b/>
        </w:rPr>
        <w:t>2</w:t>
      </w:r>
      <w:r>
        <w:rPr>
          <w:b/>
        </w:rPr>
        <w:t>b: Logistic regressions on b</w:t>
      </w:r>
      <w:r w:rsidRPr="00A30A01">
        <w:rPr>
          <w:b/>
        </w:rPr>
        <w:t xml:space="preserve">ecoming waivered for </w:t>
      </w:r>
      <w:r>
        <w:rPr>
          <w:b/>
        </w:rPr>
        <w:t>100</w:t>
      </w:r>
      <w:r w:rsidRPr="00A30A01">
        <w:rPr>
          <w:b/>
        </w:rPr>
        <w:t xml:space="preserve"> patients</w:t>
      </w:r>
      <w:r>
        <w:rPr>
          <w:b/>
        </w:rPr>
        <w:t xml:space="preserve"> in Massachusetts, for each year 2012 – 2018</w:t>
      </w:r>
    </w:p>
    <w:p w14:paraId="0C656379" w14:textId="77777777" w:rsidR="004D6345" w:rsidRPr="00B359EC" w:rsidRDefault="004D6345" w:rsidP="004D6345">
      <w:pPr>
        <w:spacing w:after="0" w:line="240" w:lineRule="auto"/>
        <w:rPr>
          <w:b/>
        </w:rPr>
      </w:pPr>
      <w:r>
        <w:rPr>
          <w:b/>
        </w:rPr>
        <w:t>IV.</w:t>
      </w:r>
      <w:r w:rsidR="00BE1391">
        <w:rPr>
          <w:b/>
        </w:rPr>
        <w:t>2</w:t>
      </w:r>
      <w:r>
        <w:rPr>
          <w:b/>
        </w:rPr>
        <w:t xml:space="preserve">a: </w:t>
      </w:r>
      <w:r w:rsidRPr="00B359EC">
        <w:rPr>
          <w:b/>
        </w:rPr>
        <w:t xml:space="preserve">Dependent variable: </w:t>
      </w:r>
    </w:p>
    <w:p w14:paraId="28A5CED5" w14:textId="77777777" w:rsidR="004D6345" w:rsidRPr="00B359EC" w:rsidRDefault="004D6345" w:rsidP="004D6345">
      <w:pPr>
        <w:spacing w:after="0"/>
        <w:rPr>
          <w:b/>
        </w:rPr>
      </w:pPr>
      <w:r>
        <w:rPr>
          <w:b/>
        </w:rPr>
        <w:t>Becoming waivered f</w:t>
      </w:r>
      <w:r w:rsidRPr="00B359EC">
        <w:rPr>
          <w:b/>
        </w:rPr>
        <w:t xml:space="preserve">or </w:t>
      </w:r>
      <w:r>
        <w:rPr>
          <w:b/>
        </w:rPr>
        <w:t>100</w:t>
      </w:r>
      <w:r w:rsidRPr="00B359EC">
        <w:rPr>
          <w:b/>
        </w:rPr>
        <w:t xml:space="preserve"> patients in:</w:t>
      </w:r>
      <w:r w:rsidRPr="00B359EC">
        <w:rPr>
          <w:b/>
        </w:rPr>
        <w:tab/>
        <w:t xml:space="preserve">  </w:t>
      </w:r>
      <w:r>
        <w:rPr>
          <w:b/>
        </w:rPr>
        <w:t xml:space="preserve">            </w:t>
      </w:r>
      <w:r w:rsidRPr="00B359EC">
        <w:rPr>
          <w:b/>
        </w:rPr>
        <w:t>201</w:t>
      </w:r>
      <w:r>
        <w:rPr>
          <w:b/>
        </w:rPr>
        <w:t>2</w:t>
      </w:r>
      <w:r w:rsidRPr="00B359EC">
        <w:rPr>
          <w:b/>
        </w:rPr>
        <w:tab/>
        <w:t xml:space="preserve"> </w:t>
      </w:r>
      <w:r>
        <w:rPr>
          <w:b/>
        </w:rPr>
        <w:t xml:space="preserve">      </w:t>
      </w:r>
      <w:r w:rsidRPr="00B359EC">
        <w:rPr>
          <w:b/>
        </w:rPr>
        <w:t xml:space="preserve">        </w:t>
      </w:r>
      <w:r>
        <w:rPr>
          <w:b/>
        </w:rPr>
        <w:t xml:space="preserve">                  </w:t>
      </w:r>
      <w:r w:rsidRPr="00B359EC">
        <w:rPr>
          <w:b/>
        </w:rPr>
        <w:t>201</w:t>
      </w:r>
      <w:r>
        <w:rPr>
          <w:b/>
        </w:rPr>
        <w:t>3</w:t>
      </w:r>
      <w:r w:rsidRPr="00B359EC">
        <w:rPr>
          <w:b/>
        </w:rPr>
        <w:tab/>
        <w:t xml:space="preserve">     </w:t>
      </w:r>
      <w:r w:rsidRPr="00B359EC">
        <w:rPr>
          <w:b/>
        </w:rPr>
        <w:tab/>
        <w:t xml:space="preserve">  </w:t>
      </w:r>
      <w:r>
        <w:rPr>
          <w:b/>
        </w:rPr>
        <w:t xml:space="preserve">                      </w:t>
      </w:r>
      <w:r w:rsidRPr="00B359EC">
        <w:rPr>
          <w:b/>
        </w:rPr>
        <w:t>201</w:t>
      </w:r>
      <w:r>
        <w:rPr>
          <w:b/>
        </w:rPr>
        <w:t>4</w:t>
      </w:r>
      <w:r w:rsidRPr="00B359EC">
        <w:rPr>
          <w:b/>
        </w:rPr>
        <w:t xml:space="preserve">    </w:t>
      </w:r>
      <w:r>
        <w:rPr>
          <w:b/>
        </w:rPr>
        <w:tab/>
      </w:r>
      <w:r w:rsidRPr="00B359EC">
        <w:rPr>
          <w:b/>
        </w:rPr>
        <w:t xml:space="preserve"> </w:t>
      </w:r>
      <w:r>
        <w:rPr>
          <w:b/>
        </w:rPr>
        <w:t xml:space="preserve">   </w:t>
      </w:r>
      <w:r>
        <w:rPr>
          <w:b/>
        </w:rPr>
        <w:tab/>
        <w:t xml:space="preserve">              </w:t>
      </w:r>
      <w:r w:rsidRPr="00B359EC">
        <w:rPr>
          <w:b/>
        </w:rPr>
        <w:t>201</w:t>
      </w:r>
      <w:r>
        <w:rPr>
          <w:b/>
        </w:rPr>
        <w:t>5</w:t>
      </w:r>
      <w:r w:rsidRPr="00B359EC">
        <w:rPr>
          <w:b/>
        </w:rPr>
        <w:t xml:space="preserve"> </w:t>
      </w:r>
    </w:p>
    <w:tbl>
      <w:tblPr>
        <w:tblStyle w:val="TableGrid"/>
        <w:tblW w:w="13158" w:type="dxa"/>
        <w:tblLayout w:type="fixed"/>
        <w:tblLook w:val="04A0" w:firstRow="1" w:lastRow="0" w:firstColumn="1" w:lastColumn="0" w:noHBand="0" w:noVBand="1"/>
      </w:tblPr>
      <w:tblGrid>
        <w:gridCol w:w="3530"/>
        <w:gridCol w:w="2407"/>
        <w:gridCol w:w="2407"/>
        <w:gridCol w:w="2407"/>
        <w:gridCol w:w="2407"/>
      </w:tblGrid>
      <w:tr w:rsidR="004D6345" w14:paraId="69AD843B" w14:textId="77777777" w:rsidTr="005B7AA1">
        <w:tc>
          <w:tcPr>
            <w:tcW w:w="3530" w:type="dxa"/>
          </w:tcPr>
          <w:p w14:paraId="7BFC8BDB" w14:textId="77777777" w:rsidR="004D6345" w:rsidRPr="00B359EC" w:rsidRDefault="004D6345" w:rsidP="005B7AA1">
            <w:pPr>
              <w:spacing w:before="20" w:after="20"/>
              <w:rPr>
                <w:b/>
              </w:rPr>
            </w:pPr>
            <w:r w:rsidRPr="00B359EC">
              <w:rPr>
                <w:b/>
              </w:rPr>
              <w:t>Predictors</w:t>
            </w:r>
            <w:r w:rsidRPr="00AB471E">
              <w:rPr>
                <w:b/>
                <w:vertAlign w:val="superscript"/>
              </w:rPr>
              <w:t>1</w:t>
            </w:r>
            <w:r>
              <w:rPr>
                <w:b/>
                <w:vertAlign w:val="superscript"/>
              </w:rPr>
              <w:t>,2</w:t>
            </w:r>
            <w:r w:rsidRPr="00B359EC">
              <w:rPr>
                <w:b/>
              </w:rPr>
              <w:t>:</w:t>
            </w:r>
          </w:p>
        </w:tc>
        <w:tc>
          <w:tcPr>
            <w:tcW w:w="2407" w:type="dxa"/>
            <w:vAlign w:val="center"/>
          </w:tcPr>
          <w:p w14:paraId="228E3F88" w14:textId="77777777" w:rsidR="004D6345" w:rsidRPr="00B359EC" w:rsidRDefault="004D6345" w:rsidP="005B7AA1">
            <w:pPr>
              <w:jc w:val="center"/>
              <w:rPr>
                <w:b/>
              </w:rPr>
            </w:pPr>
            <w:r>
              <w:rPr>
                <w:b/>
              </w:rPr>
              <w:t>OR (95% CI)</w:t>
            </w:r>
          </w:p>
        </w:tc>
        <w:tc>
          <w:tcPr>
            <w:tcW w:w="2407" w:type="dxa"/>
            <w:vAlign w:val="center"/>
          </w:tcPr>
          <w:p w14:paraId="4627F855" w14:textId="77777777" w:rsidR="004D6345" w:rsidRPr="00B359EC" w:rsidRDefault="004D6345" w:rsidP="005B7AA1">
            <w:pPr>
              <w:jc w:val="center"/>
              <w:rPr>
                <w:b/>
              </w:rPr>
            </w:pPr>
            <w:r>
              <w:rPr>
                <w:b/>
              </w:rPr>
              <w:t>OR (95% CI)</w:t>
            </w:r>
          </w:p>
        </w:tc>
        <w:tc>
          <w:tcPr>
            <w:tcW w:w="2407" w:type="dxa"/>
            <w:vAlign w:val="center"/>
          </w:tcPr>
          <w:p w14:paraId="066EAA00" w14:textId="77777777" w:rsidR="004D6345" w:rsidRPr="00B359EC" w:rsidRDefault="004D6345" w:rsidP="005B7AA1">
            <w:pPr>
              <w:jc w:val="center"/>
              <w:rPr>
                <w:b/>
              </w:rPr>
            </w:pPr>
            <w:r>
              <w:rPr>
                <w:b/>
              </w:rPr>
              <w:t>OR (95% CI)</w:t>
            </w:r>
          </w:p>
        </w:tc>
        <w:tc>
          <w:tcPr>
            <w:tcW w:w="2407" w:type="dxa"/>
            <w:vAlign w:val="center"/>
          </w:tcPr>
          <w:p w14:paraId="5E7C82A9" w14:textId="77777777" w:rsidR="004D6345" w:rsidRPr="00B359EC" w:rsidRDefault="004D6345" w:rsidP="005B7AA1">
            <w:pPr>
              <w:jc w:val="center"/>
              <w:rPr>
                <w:b/>
              </w:rPr>
            </w:pPr>
            <w:r>
              <w:rPr>
                <w:b/>
              </w:rPr>
              <w:t>OR (95% CI)</w:t>
            </w:r>
          </w:p>
        </w:tc>
      </w:tr>
      <w:tr w:rsidR="004D6345" w14:paraId="642D58E1" w14:textId="77777777" w:rsidTr="005B7AA1">
        <w:tc>
          <w:tcPr>
            <w:tcW w:w="3530" w:type="dxa"/>
          </w:tcPr>
          <w:p w14:paraId="40B6A86B" w14:textId="77777777" w:rsidR="004D6345" w:rsidRPr="00B359EC" w:rsidRDefault="004D6345" w:rsidP="005B7AA1">
            <w:pPr>
              <w:spacing w:before="20" w:after="20"/>
              <w:rPr>
                <w:b/>
              </w:rPr>
            </w:pPr>
            <w:r w:rsidRPr="00B359EC">
              <w:rPr>
                <w:b/>
              </w:rPr>
              <w:t>Median monthly active patients</w:t>
            </w:r>
          </w:p>
        </w:tc>
        <w:tc>
          <w:tcPr>
            <w:tcW w:w="2407" w:type="dxa"/>
            <w:vAlign w:val="center"/>
          </w:tcPr>
          <w:p w14:paraId="3A67FAAC" w14:textId="77777777" w:rsidR="004D6345" w:rsidRPr="00EF34DF" w:rsidRDefault="002A2BA6" w:rsidP="005B7AA1">
            <w:pPr>
              <w:jc w:val="center"/>
              <w:rPr>
                <w:b/>
              </w:rPr>
            </w:pPr>
            <w:r>
              <w:rPr>
                <w:b/>
              </w:rPr>
              <w:t>1.034 (1.016, 1.053)</w:t>
            </w:r>
          </w:p>
        </w:tc>
        <w:tc>
          <w:tcPr>
            <w:tcW w:w="2407" w:type="dxa"/>
            <w:vAlign w:val="center"/>
          </w:tcPr>
          <w:p w14:paraId="42085E3E" w14:textId="77777777" w:rsidR="004D6345" w:rsidRPr="00EF34DF" w:rsidRDefault="00F96A5C" w:rsidP="005B7AA1">
            <w:pPr>
              <w:jc w:val="center"/>
              <w:rPr>
                <w:b/>
              </w:rPr>
            </w:pPr>
            <w:r>
              <w:rPr>
                <w:b/>
              </w:rPr>
              <w:t>1.038 (1.019, 1.058)</w:t>
            </w:r>
          </w:p>
        </w:tc>
        <w:tc>
          <w:tcPr>
            <w:tcW w:w="2407" w:type="dxa"/>
            <w:vAlign w:val="center"/>
          </w:tcPr>
          <w:p w14:paraId="56144E7C" w14:textId="77777777" w:rsidR="004D6345" w:rsidRPr="00A45CF6" w:rsidRDefault="008419F7" w:rsidP="005B7AA1">
            <w:pPr>
              <w:jc w:val="center"/>
              <w:rPr>
                <w:b/>
              </w:rPr>
            </w:pPr>
            <w:r>
              <w:rPr>
                <w:b/>
              </w:rPr>
              <w:t>1.061 (1.017, 1.108)</w:t>
            </w:r>
          </w:p>
        </w:tc>
        <w:tc>
          <w:tcPr>
            <w:tcW w:w="2407" w:type="dxa"/>
            <w:vAlign w:val="center"/>
          </w:tcPr>
          <w:p w14:paraId="6413BC58" w14:textId="77777777" w:rsidR="004D6345" w:rsidRPr="0026696F" w:rsidRDefault="0026696F" w:rsidP="005B7AA1">
            <w:pPr>
              <w:jc w:val="center"/>
              <w:rPr>
                <w:b/>
              </w:rPr>
            </w:pPr>
            <w:r w:rsidRPr="0026696F">
              <w:rPr>
                <w:b/>
              </w:rPr>
              <w:t>1.123 (1.067, 1.183)</w:t>
            </w:r>
          </w:p>
        </w:tc>
      </w:tr>
      <w:tr w:rsidR="004D6345" w14:paraId="08D65FCC" w14:textId="77777777" w:rsidTr="005B7AA1">
        <w:tc>
          <w:tcPr>
            <w:tcW w:w="3530" w:type="dxa"/>
          </w:tcPr>
          <w:p w14:paraId="3AB79292" w14:textId="77777777" w:rsidR="004D6345" w:rsidRPr="00B359EC" w:rsidRDefault="004D6345" w:rsidP="005B7AA1">
            <w:pPr>
              <w:spacing w:before="20" w:after="20"/>
              <w:rPr>
                <w:b/>
              </w:rPr>
            </w:pPr>
            <w:r w:rsidRPr="00B359EC">
              <w:rPr>
                <w:b/>
              </w:rPr>
              <w:t>Degree (no. of shared-patient ties of at least 10 patients</w:t>
            </w:r>
            <w:r>
              <w:rPr>
                <w:b/>
              </w:rPr>
              <w:t>)</w:t>
            </w:r>
          </w:p>
        </w:tc>
        <w:tc>
          <w:tcPr>
            <w:tcW w:w="2407" w:type="dxa"/>
            <w:vAlign w:val="center"/>
          </w:tcPr>
          <w:p w14:paraId="2F7EB4EB" w14:textId="77777777" w:rsidR="004D6345" w:rsidRPr="00EF34DF" w:rsidRDefault="002A2BA6" w:rsidP="005B7AA1">
            <w:pPr>
              <w:jc w:val="center"/>
              <w:rPr>
                <w:b/>
              </w:rPr>
            </w:pPr>
            <w:r>
              <w:rPr>
                <w:b/>
              </w:rPr>
              <w:t>1.777 (1.095, 2.883)</w:t>
            </w:r>
          </w:p>
        </w:tc>
        <w:tc>
          <w:tcPr>
            <w:tcW w:w="2407" w:type="dxa"/>
            <w:vAlign w:val="center"/>
          </w:tcPr>
          <w:p w14:paraId="2AEF78F5" w14:textId="77777777" w:rsidR="004D6345" w:rsidRPr="00F96A5C" w:rsidRDefault="00F96A5C" w:rsidP="005B7AA1">
            <w:pPr>
              <w:jc w:val="center"/>
              <w:rPr>
                <w:b/>
              </w:rPr>
            </w:pPr>
            <w:r w:rsidRPr="00F96A5C">
              <w:rPr>
                <w:b/>
              </w:rPr>
              <w:t>1.941 (1.304, 2.890)</w:t>
            </w:r>
          </w:p>
        </w:tc>
        <w:tc>
          <w:tcPr>
            <w:tcW w:w="2407" w:type="dxa"/>
            <w:vAlign w:val="center"/>
          </w:tcPr>
          <w:p w14:paraId="400023D3" w14:textId="77777777" w:rsidR="004D6345" w:rsidRPr="00A45CF6" w:rsidRDefault="0026696F" w:rsidP="005B7AA1">
            <w:pPr>
              <w:jc w:val="center"/>
              <w:rPr>
                <w:b/>
              </w:rPr>
            </w:pPr>
            <w:r>
              <w:rPr>
                <w:b/>
              </w:rPr>
              <w:t>1.552 (1.015, 2.374)</w:t>
            </w:r>
          </w:p>
        </w:tc>
        <w:tc>
          <w:tcPr>
            <w:tcW w:w="2407" w:type="dxa"/>
            <w:vAlign w:val="center"/>
          </w:tcPr>
          <w:p w14:paraId="606B20CE" w14:textId="77777777" w:rsidR="004D6345" w:rsidRPr="0026696F" w:rsidRDefault="0026696F" w:rsidP="005B7AA1">
            <w:pPr>
              <w:jc w:val="center"/>
            </w:pPr>
            <w:r w:rsidRPr="0026696F">
              <w:t>1.308 (.842, 2.031)</w:t>
            </w:r>
          </w:p>
        </w:tc>
      </w:tr>
      <w:tr w:rsidR="004D6345" w14:paraId="39A8F9B4" w14:textId="77777777" w:rsidTr="005B7AA1">
        <w:tc>
          <w:tcPr>
            <w:tcW w:w="3530" w:type="dxa"/>
          </w:tcPr>
          <w:p w14:paraId="2325CA3C" w14:textId="77777777" w:rsidR="004D6345" w:rsidRPr="00B359EC" w:rsidRDefault="004D6345" w:rsidP="005B7AA1">
            <w:pPr>
              <w:spacing w:before="20" w:after="20"/>
              <w:rPr>
                <w:b/>
              </w:rPr>
            </w:pPr>
            <w:r w:rsidRPr="00B359EC">
              <w:rPr>
                <w:b/>
              </w:rPr>
              <w:t>Percent of patients on Medicaid</w:t>
            </w:r>
          </w:p>
        </w:tc>
        <w:tc>
          <w:tcPr>
            <w:tcW w:w="2407" w:type="dxa"/>
            <w:vAlign w:val="center"/>
          </w:tcPr>
          <w:p w14:paraId="7BCC3151" w14:textId="77777777" w:rsidR="004D6345" w:rsidRDefault="004D6345" w:rsidP="005B7AA1">
            <w:pPr>
              <w:jc w:val="center"/>
            </w:pPr>
            <w:r>
              <w:t>-</w:t>
            </w:r>
            <w:r w:rsidRPr="00874849">
              <w:rPr>
                <w:vertAlign w:val="superscript"/>
              </w:rPr>
              <w:t>4</w:t>
            </w:r>
          </w:p>
        </w:tc>
        <w:tc>
          <w:tcPr>
            <w:tcW w:w="2407" w:type="dxa"/>
            <w:vAlign w:val="center"/>
          </w:tcPr>
          <w:p w14:paraId="638CE23D" w14:textId="77777777" w:rsidR="004D6345" w:rsidRDefault="00F96A5C" w:rsidP="005B7AA1">
            <w:pPr>
              <w:jc w:val="center"/>
            </w:pPr>
            <w:r>
              <w:t>-</w:t>
            </w:r>
          </w:p>
        </w:tc>
        <w:tc>
          <w:tcPr>
            <w:tcW w:w="2407" w:type="dxa"/>
            <w:vAlign w:val="center"/>
          </w:tcPr>
          <w:p w14:paraId="2ED03B11" w14:textId="77777777" w:rsidR="004D6345" w:rsidRDefault="00F96A5C" w:rsidP="005B7AA1">
            <w:pPr>
              <w:jc w:val="center"/>
            </w:pPr>
            <w:r>
              <w:t>-</w:t>
            </w:r>
          </w:p>
        </w:tc>
        <w:tc>
          <w:tcPr>
            <w:tcW w:w="2407" w:type="dxa"/>
            <w:vAlign w:val="center"/>
          </w:tcPr>
          <w:p w14:paraId="0576CD27" w14:textId="77777777" w:rsidR="004D6345" w:rsidRDefault="00F96A5C" w:rsidP="005B7AA1">
            <w:pPr>
              <w:jc w:val="center"/>
            </w:pPr>
            <w:r>
              <w:t>-</w:t>
            </w:r>
          </w:p>
        </w:tc>
      </w:tr>
      <w:tr w:rsidR="004D6345" w14:paraId="54FDF5CF" w14:textId="77777777" w:rsidTr="005B7AA1">
        <w:tc>
          <w:tcPr>
            <w:tcW w:w="3530" w:type="dxa"/>
          </w:tcPr>
          <w:p w14:paraId="2280527F" w14:textId="77777777" w:rsidR="004D6345" w:rsidRPr="00B359EC" w:rsidRDefault="004D6345" w:rsidP="002A2BA6">
            <w:pPr>
              <w:spacing w:before="20" w:after="20"/>
              <w:rPr>
                <w:b/>
              </w:rPr>
            </w:pPr>
            <w:r w:rsidRPr="00B359EC">
              <w:rPr>
                <w:b/>
              </w:rPr>
              <w:t xml:space="preserve">Years waivered for </w:t>
            </w:r>
            <w:r w:rsidR="002A2BA6">
              <w:rPr>
                <w:b/>
              </w:rPr>
              <w:t>3</w:t>
            </w:r>
            <w:r w:rsidRPr="00B359EC">
              <w:rPr>
                <w:b/>
              </w:rPr>
              <w:t xml:space="preserve">0 patients </w:t>
            </w:r>
          </w:p>
        </w:tc>
        <w:tc>
          <w:tcPr>
            <w:tcW w:w="2407" w:type="dxa"/>
            <w:vAlign w:val="center"/>
          </w:tcPr>
          <w:p w14:paraId="2FE99F64" w14:textId="77777777" w:rsidR="004D6345" w:rsidRPr="002A2BA6" w:rsidRDefault="002A2BA6" w:rsidP="005B7AA1">
            <w:pPr>
              <w:jc w:val="center"/>
              <w:rPr>
                <w:b/>
              </w:rPr>
            </w:pPr>
            <w:r w:rsidRPr="002A2BA6">
              <w:rPr>
                <w:b/>
              </w:rPr>
              <w:t>.842 (.735, .964)</w:t>
            </w:r>
          </w:p>
        </w:tc>
        <w:tc>
          <w:tcPr>
            <w:tcW w:w="2407" w:type="dxa"/>
            <w:vAlign w:val="center"/>
          </w:tcPr>
          <w:p w14:paraId="30947D38" w14:textId="77777777" w:rsidR="004D6345" w:rsidRPr="00EF34DF" w:rsidRDefault="00F96A5C" w:rsidP="005B7AA1">
            <w:pPr>
              <w:jc w:val="center"/>
              <w:rPr>
                <w:b/>
              </w:rPr>
            </w:pPr>
            <w:r>
              <w:rPr>
                <w:b/>
              </w:rPr>
              <w:t>.775 (.680, .883)</w:t>
            </w:r>
          </w:p>
        </w:tc>
        <w:tc>
          <w:tcPr>
            <w:tcW w:w="2407" w:type="dxa"/>
            <w:vAlign w:val="center"/>
          </w:tcPr>
          <w:p w14:paraId="4B94A888" w14:textId="77777777" w:rsidR="004D6345" w:rsidRPr="00A45CF6" w:rsidRDefault="0026696F" w:rsidP="005B7AA1">
            <w:pPr>
              <w:jc w:val="center"/>
              <w:rPr>
                <w:b/>
              </w:rPr>
            </w:pPr>
            <w:r>
              <w:rPr>
                <w:b/>
              </w:rPr>
              <w:t>.790 (.709, .879)</w:t>
            </w:r>
          </w:p>
        </w:tc>
        <w:tc>
          <w:tcPr>
            <w:tcW w:w="2407" w:type="dxa"/>
            <w:vAlign w:val="center"/>
          </w:tcPr>
          <w:p w14:paraId="2112456C" w14:textId="77777777" w:rsidR="004D6345" w:rsidRPr="002D758E" w:rsidRDefault="0026696F" w:rsidP="005B7AA1">
            <w:pPr>
              <w:jc w:val="center"/>
              <w:rPr>
                <w:b/>
              </w:rPr>
            </w:pPr>
            <w:r>
              <w:rPr>
                <w:b/>
              </w:rPr>
              <w:t>.768 (.710, .831)</w:t>
            </w:r>
          </w:p>
        </w:tc>
      </w:tr>
      <w:tr w:rsidR="004D6345" w14:paraId="06E84D78" w14:textId="77777777" w:rsidTr="005B7AA1">
        <w:tc>
          <w:tcPr>
            <w:tcW w:w="3530" w:type="dxa"/>
          </w:tcPr>
          <w:p w14:paraId="2DCBDB2B" w14:textId="77777777" w:rsidR="004D6345" w:rsidRDefault="004D6345" w:rsidP="005B7AA1">
            <w:pPr>
              <w:spacing w:before="20" w:after="20"/>
              <w:rPr>
                <w:b/>
              </w:rPr>
            </w:pPr>
            <w:r>
              <w:rPr>
                <w:b/>
              </w:rPr>
              <w:t>Medical specialty</w:t>
            </w:r>
            <w:r>
              <w:rPr>
                <w:b/>
                <w:vertAlign w:val="superscript"/>
              </w:rPr>
              <w:t>5</w:t>
            </w:r>
            <w:r>
              <w:rPr>
                <w:b/>
              </w:rPr>
              <w:t>:</w:t>
            </w:r>
          </w:p>
          <w:p w14:paraId="00A3D9B7" w14:textId="77777777" w:rsidR="004D6345" w:rsidRPr="00B359EC" w:rsidRDefault="004D6345" w:rsidP="005B7AA1">
            <w:pPr>
              <w:spacing w:before="20" w:after="20"/>
              <w:rPr>
                <w:b/>
              </w:rPr>
            </w:pPr>
            <w:r>
              <w:rPr>
                <w:b/>
              </w:rPr>
              <w:t xml:space="preserve">     Physician - general</w:t>
            </w:r>
          </w:p>
        </w:tc>
        <w:tc>
          <w:tcPr>
            <w:tcW w:w="2407" w:type="dxa"/>
            <w:vAlign w:val="center"/>
          </w:tcPr>
          <w:p w14:paraId="28E3F3D6" w14:textId="77777777" w:rsidR="004D6345" w:rsidRDefault="002A2BA6" w:rsidP="005B7AA1">
            <w:pPr>
              <w:jc w:val="center"/>
            </w:pPr>
            <w:r>
              <w:t>1.155 (.521, 2.558)</w:t>
            </w:r>
          </w:p>
        </w:tc>
        <w:tc>
          <w:tcPr>
            <w:tcW w:w="2407" w:type="dxa"/>
            <w:vAlign w:val="center"/>
          </w:tcPr>
          <w:p w14:paraId="4C0E0E9E" w14:textId="77777777" w:rsidR="004D6345" w:rsidRDefault="00F96A5C" w:rsidP="005B7AA1">
            <w:pPr>
              <w:jc w:val="center"/>
            </w:pPr>
            <w:r>
              <w:t>.466 (.187, 1.166)</w:t>
            </w:r>
          </w:p>
        </w:tc>
        <w:tc>
          <w:tcPr>
            <w:tcW w:w="2407" w:type="dxa"/>
            <w:vAlign w:val="center"/>
          </w:tcPr>
          <w:p w14:paraId="52539961" w14:textId="77777777" w:rsidR="004D6345" w:rsidRDefault="0026696F" w:rsidP="005B7AA1">
            <w:pPr>
              <w:jc w:val="center"/>
            </w:pPr>
            <w:r>
              <w:t>.989 (.472, 2.071)</w:t>
            </w:r>
          </w:p>
        </w:tc>
        <w:tc>
          <w:tcPr>
            <w:tcW w:w="2407" w:type="dxa"/>
            <w:vAlign w:val="center"/>
          </w:tcPr>
          <w:p w14:paraId="6C2FF574" w14:textId="77777777" w:rsidR="004D6345" w:rsidRPr="0026696F" w:rsidRDefault="0026696F" w:rsidP="005B7AA1">
            <w:pPr>
              <w:jc w:val="center"/>
              <w:rPr>
                <w:b/>
              </w:rPr>
            </w:pPr>
            <w:r w:rsidRPr="0026696F">
              <w:rPr>
                <w:b/>
              </w:rPr>
              <w:t>1.705 (1.011, 2.876)</w:t>
            </w:r>
          </w:p>
        </w:tc>
      </w:tr>
      <w:tr w:rsidR="004D6345" w14:paraId="42DBFE3C" w14:textId="77777777" w:rsidTr="005B7AA1">
        <w:tc>
          <w:tcPr>
            <w:tcW w:w="3530" w:type="dxa"/>
          </w:tcPr>
          <w:p w14:paraId="18F09E7B" w14:textId="77777777" w:rsidR="004D6345" w:rsidRDefault="004D6345" w:rsidP="005B7AA1">
            <w:pPr>
              <w:spacing w:before="20" w:after="20"/>
              <w:rPr>
                <w:b/>
              </w:rPr>
            </w:pPr>
            <w:r>
              <w:rPr>
                <w:b/>
              </w:rPr>
              <w:t xml:space="preserve">     Physician – psychiatry &amp;    </w:t>
            </w:r>
          </w:p>
          <w:p w14:paraId="61FC9CC3" w14:textId="77777777" w:rsidR="004D6345" w:rsidRPr="00B359EC" w:rsidRDefault="004D6345" w:rsidP="005B7AA1">
            <w:pPr>
              <w:spacing w:before="20" w:after="20"/>
              <w:rPr>
                <w:b/>
              </w:rPr>
            </w:pPr>
            <w:r>
              <w:rPr>
                <w:b/>
              </w:rPr>
              <w:t xml:space="preserve">     neurology</w:t>
            </w:r>
          </w:p>
        </w:tc>
        <w:tc>
          <w:tcPr>
            <w:tcW w:w="2407" w:type="dxa"/>
            <w:vAlign w:val="center"/>
          </w:tcPr>
          <w:p w14:paraId="3316DB01" w14:textId="77777777" w:rsidR="004D6345" w:rsidRDefault="002A2BA6" w:rsidP="005B7AA1">
            <w:pPr>
              <w:jc w:val="center"/>
            </w:pPr>
            <w:r>
              <w:t>.873 (.400, 1.904)</w:t>
            </w:r>
          </w:p>
        </w:tc>
        <w:tc>
          <w:tcPr>
            <w:tcW w:w="2407" w:type="dxa"/>
            <w:vAlign w:val="center"/>
          </w:tcPr>
          <w:p w14:paraId="0EDC7A00" w14:textId="77777777" w:rsidR="004D6345" w:rsidRDefault="00F96A5C" w:rsidP="005B7AA1">
            <w:pPr>
              <w:jc w:val="center"/>
            </w:pPr>
            <w:r>
              <w:t>.622 (.289, 1.337)</w:t>
            </w:r>
          </w:p>
        </w:tc>
        <w:tc>
          <w:tcPr>
            <w:tcW w:w="2407" w:type="dxa"/>
            <w:vAlign w:val="center"/>
          </w:tcPr>
          <w:p w14:paraId="3B41142A" w14:textId="77777777" w:rsidR="004D6345" w:rsidRDefault="0026696F" w:rsidP="005B7AA1">
            <w:pPr>
              <w:jc w:val="center"/>
            </w:pPr>
            <w:r>
              <w:t>1.040 (.505, 2.142)</w:t>
            </w:r>
          </w:p>
        </w:tc>
        <w:tc>
          <w:tcPr>
            <w:tcW w:w="2407" w:type="dxa"/>
            <w:vAlign w:val="center"/>
          </w:tcPr>
          <w:p w14:paraId="4AAF51A5" w14:textId="77777777" w:rsidR="004D6345" w:rsidRDefault="0026696F" w:rsidP="005B7AA1">
            <w:pPr>
              <w:jc w:val="center"/>
            </w:pPr>
            <w:r>
              <w:t>1.111 (.645, 1.912)</w:t>
            </w:r>
          </w:p>
        </w:tc>
      </w:tr>
      <w:tr w:rsidR="004D6345" w14:paraId="63181686" w14:textId="77777777" w:rsidTr="005B7AA1">
        <w:tc>
          <w:tcPr>
            <w:tcW w:w="3530" w:type="dxa"/>
          </w:tcPr>
          <w:p w14:paraId="0CB50EBB" w14:textId="77777777" w:rsidR="004D6345" w:rsidRPr="00B359EC" w:rsidRDefault="004D6345" w:rsidP="005B7AA1">
            <w:pPr>
              <w:spacing w:before="20" w:after="20"/>
              <w:rPr>
                <w:b/>
              </w:rPr>
            </w:pPr>
            <w:r>
              <w:rPr>
                <w:b/>
              </w:rPr>
              <w:t xml:space="preserve">     Physician - other</w:t>
            </w:r>
          </w:p>
        </w:tc>
        <w:tc>
          <w:tcPr>
            <w:tcW w:w="2407" w:type="dxa"/>
            <w:vAlign w:val="center"/>
          </w:tcPr>
          <w:p w14:paraId="1902C1A0" w14:textId="77777777" w:rsidR="004D6345" w:rsidRDefault="002A2BA6" w:rsidP="005B7AA1">
            <w:pPr>
              <w:jc w:val="center"/>
            </w:pPr>
            <w:r>
              <w:t>1.573 (,672, 3.986)</w:t>
            </w:r>
          </w:p>
        </w:tc>
        <w:tc>
          <w:tcPr>
            <w:tcW w:w="2407" w:type="dxa"/>
            <w:vAlign w:val="center"/>
          </w:tcPr>
          <w:p w14:paraId="19CAD89D" w14:textId="77777777" w:rsidR="004D6345" w:rsidRDefault="00F96A5C" w:rsidP="005B7AA1">
            <w:pPr>
              <w:jc w:val="center"/>
            </w:pPr>
            <w:r>
              <w:t>1.421 (.415, 4.859)</w:t>
            </w:r>
          </w:p>
        </w:tc>
        <w:tc>
          <w:tcPr>
            <w:tcW w:w="2407" w:type="dxa"/>
            <w:vAlign w:val="center"/>
          </w:tcPr>
          <w:p w14:paraId="15E4CF70" w14:textId="77777777" w:rsidR="004D6345" w:rsidRDefault="0026696F" w:rsidP="005B7AA1">
            <w:pPr>
              <w:jc w:val="center"/>
            </w:pPr>
            <w:r>
              <w:t>2.805 (.972, 8.101)</w:t>
            </w:r>
          </w:p>
        </w:tc>
        <w:tc>
          <w:tcPr>
            <w:tcW w:w="2407" w:type="dxa"/>
            <w:vAlign w:val="center"/>
          </w:tcPr>
          <w:p w14:paraId="05F6AB59" w14:textId="77777777" w:rsidR="004D6345" w:rsidRDefault="0026696F" w:rsidP="005B7AA1">
            <w:pPr>
              <w:jc w:val="center"/>
            </w:pPr>
            <w:r>
              <w:t>.716 (.238, 2.149)</w:t>
            </w:r>
          </w:p>
        </w:tc>
      </w:tr>
      <w:tr w:rsidR="004D6345" w14:paraId="521B0EC6" w14:textId="77777777" w:rsidTr="005B7AA1">
        <w:tc>
          <w:tcPr>
            <w:tcW w:w="3530" w:type="dxa"/>
          </w:tcPr>
          <w:p w14:paraId="2E24FE6E" w14:textId="77777777" w:rsidR="004D6345" w:rsidRDefault="004D6345" w:rsidP="005B7AA1">
            <w:pPr>
              <w:spacing w:before="20" w:after="20"/>
              <w:rPr>
                <w:b/>
              </w:rPr>
            </w:pPr>
            <w:r>
              <w:rPr>
                <w:b/>
              </w:rPr>
              <w:t xml:space="preserve">     NP/PA</w:t>
            </w:r>
          </w:p>
        </w:tc>
        <w:tc>
          <w:tcPr>
            <w:tcW w:w="2407" w:type="dxa"/>
            <w:vAlign w:val="center"/>
          </w:tcPr>
          <w:p w14:paraId="5C417D14" w14:textId="77777777" w:rsidR="004D6345" w:rsidRDefault="002A2BA6" w:rsidP="005B7AA1">
            <w:pPr>
              <w:jc w:val="center"/>
            </w:pPr>
            <w:r>
              <w:t>-</w:t>
            </w:r>
          </w:p>
        </w:tc>
        <w:tc>
          <w:tcPr>
            <w:tcW w:w="2407" w:type="dxa"/>
            <w:vAlign w:val="center"/>
          </w:tcPr>
          <w:p w14:paraId="57684E2B" w14:textId="77777777" w:rsidR="004D6345" w:rsidRDefault="002A2BA6" w:rsidP="005B7AA1">
            <w:pPr>
              <w:jc w:val="center"/>
            </w:pPr>
            <w:r>
              <w:t>-</w:t>
            </w:r>
          </w:p>
        </w:tc>
        <w:tc>
          <w:tcPr>
            <w:tcW w:w="2407" w:type="dxa"/>
            <w:vAlign w:val="center"/>
          </w:tcPr>
          <w:p w14:paraId="578BA2A8" w14:textId="77777777" w:rsidR="004D6345" w:rsidRDefault="002A2BA6" w:rsidP="005B7AA1">
            <w:pPr>
              <w:jc w:val="center"/>
            </w:pPr>
            <w:r>
              <w:t>-</w:t>
            </w:r>
          </w:p>
        </w:tc>
        <w:tc>
          <w:tcPr>
            <w:tcW w:w="2407" w:type="dxa"/>
            <w:vAlign w:val="center"/>
          </w:tcPr>
          <w:p w14:paraId="22EBFB79" w14:textId="77777777" w:rsidR="004D6345" w:rsidRDefault="002A2BA6" w:rsidP="005B7AA1">
            <w:pPr>
              <w:jc w:val="center"/>
            </w:pPr>
            <w:r>
              <w:t>-</w:t>
            </w:r>
          </w:p>
        </w:tc>
      </w:tr>
      <w:tr w:rsidR="004D6345" w14:paraId="42378C9A" w14:textId="77777777" w:rsidTr="005B7AA1">
        <w:trPr>
          <w:trHeight w:val="368"/>
        </w:trPr>
        <w:tc>
          <w:tcPr>
            <w:tcW w:w="3530" w:type="dxa"/>
          </w:tcPr>
          <w:p w14:paraId="73129625" w14:textId="77777777" w:rsidR="004D6345" w:rsidRPr="00B359EC" w:rsidRDefault="004D6345" w:rsidP="005B7AA1">
            <w:pPr>
              <w:spacing w:before="20" w:after="20"/>
              <w:rPr>
                <w:b/>
              </w:rPr>
            </w:pPr>
            <w:r w:rsidRPr="00B359EC">
              <w:rPr>
                <w:b/>
              </w:rPr>
              <w:t>Constant</w:t>
            </w:r>
          </w:p>
        </w:tc>
        <w:tc>
          <w:tcPr>
            <w:tcW w:w="2407" w:type="dxa"/>
            <w:vAlign w:val="center"/>
          </w:tcPr>
          <w:p w14:paraId="2B170FF0" w14:textId="77777777" w:rsidR="004D6345" w:rsidRDefault="002A2BA6" w:rsidP="005B7AA1">
            <w:pPr>
              <w:jc w:val="center"/>
            </w:pPr>
            <w:r>
              <w:t>.397</w:t>
            </w:r>
          </w:p>
        </w:tc>
        <w:tc>
          <w:tcPr>
            <w:tcW w:w="2407" w:type="dxa"/>
            <w:vAlign w:val="center"/>
          </w:tcPr>
          <w:p w14:paraId="2ECB45D4" w14:textId="77777777" w:rsidR="004D6345" w:rsidRPr="006036CD" w:rsidRDefault="00F96A5C" w:rsidP="005B7AA1">
            <w:pPr>
              <w:jc w:val="center"/>
              <w:rPr>
                <w:b/>
              </w:rPr>
            </w:pPr>
            <w:r w:rsidRPr="006036CD">
              <w:rPr>
                <w:b/>
              </w:rPr>
              <w:t>.042</w:t>
            </w:r>
          </w:p>
        </w:tc>
        <w:tc>
          <w:tcPr>
            <w:tcW w:w="2407" w:type="dxa"/>
            <w:vAlign w:val="center"/>
          </w:tcPr>
          <w:p w14:paraId="47428F1C" w14:textId="77777777" w:rsidR="004D6345" w:rsidRDefault="0026696F" w:rsidP="005B7AA1">
            <w:pPr>
              <w:jc w:val="center"/>
            </w:pPr>
            <w:r>
              <w:t>1.151</w:t>
            </w:r>
          </w:p>
        </w:tc>
        <w:tc>
          <w:tcPr>
            <w:tcW w:w="2407" w:type="dxa"/>
            <w:vAlign w:val="center"/>
          </w:tcPr>
          <w:p w14:paraId="5F790EBF" w14:textId="77777777" w:rsidR="004D6345" w:rsidRDefault="0026696F" w:rsidP="005B7AA1">
            <w:pPr>
              <w:jc w:val="center"/>
            </w:pPr>
            <w:r>
              <w:t>1.998</w:t>
            </w:r>
          </w:p>
        </w:tc>
      </w:tr>
      <w:tr w:rsidR="004D6345" w14:paraId="14EADF82" w14:textId="77777777" w:rsidTr="005B7AA1">
        <w:trPr>
          <w:trHeight w:val="29"/>
        </w:trPr>
        <w:tc>
          <w:tcPr>
            <w:tcW w:w="3530" w:type="dxa"/>
            <w:vAlign w:val="center"/>
          </w:tcPr>
          <w:p w14:paraId="6819DA44" w14:textId="77777777" w:rsidR="004D6345" w:rsidRPr="00B359EC" w:rsidRDefault="004D6345" w:rsidP="005B7AA1">
            <w:pPr>
              <w:jc w:val="center"/>
              <w:rPr>
                <w:b/>
              </w:rPr>
            </w:pPr>
          </w:p>
        </w:tc>
        <w:tc>
          <w:tcPr>
            <w:tcW w:w="2407" w:type="dxa"/>
            <w:vAlign w:val="center"/>
          </w:tcPr>
          <w:p w14:paraId="42D7593D" w14:textId="77777777" w:rsidR="004D6345" w:rsidRDefault="004D6345" w:rsidP="005B7AA1">
            <w:pPr>
              <w:jc w:val="center"/>
            </w:pPr>
          </w:p>
        </w:tc>
        <w:tc>
          <w:tcPr>
            <w:tcW w:w="2407" w:type="dxa"/>
            <w:vAlign w:val="center"/>
          </w:tcPr>
          <w:p w14:paraId="5A8760A3" w14:textId="77777777" w:rsidR="004D6345" w:rsidRDefault="004D6345" w:rsidP="005B7AA1">
            <w:pPr>
              <w:jc w:val="center"/>
            </w:pPr>
          </w:p>
        </w:tc>
        <w:tc>
          <w:tcPr>
            <w:tcW w:w="2407" w:type="dxa"/>
            <w:vAlign w:val="center"/>
          </w:tcPr>
          <w:p w14:paraId="16932123" w14:textId="77777777" w:rsidR="004D6345" w:rsidRDefault="004D6345" w:rsidP="005B7AA1">
            <w:pPr>
              <w:jc w:val="center"/>
            </w:pPr>
          </w:p>
        </w:tc>
        <w:tc>
          <w:tcPr>
            <w:tcW w:w="2407" w:type="dxa"/>
            <w:vAlign w:val="center"/>
          </w:tcPr>
          <w:p w14:paraId="256AFFFA" w14:textId="77777777" w:rsidR="004D6345" w:rsidRDefault="004D6345" w:rsidP="005B7AA1">
            <w:pPr>
              <w:jc w:val="center"/>
            </w:pPr>
          </w:p>
        </w:tc>
      </w:tr>
      <w:tr w:rsidR="004D6345" w14:paraId="7903A417" w14:textId="77777777" w:rsidTr="005B7AA1">
        <w:tc>
          <w:tcPr>
            <w:tcW w:w="3530" w:type="dxa"/>
          </w:tcPr>
          <w:p w14:paraId="118D2EDC" w14:textId="77777777" w:rsidR="004D6345" w:rsidRPr="00B359EC" w:rsidRDefault="004D6345" w:rsidP="005B7AA1">
            <w:pPr>
              <w:spacing w:before="20" w:after="20"/>
              <w:rPr>
                <w:b/>
              </w:rPr>
            </w:pPr>
            <w:r w:rsidRPr="00B359EC">
              <w:rPr>
                <w:b/>
              </w:rPr>
              <w:t>N</w:t>
            </w:r>
          </w:p>
        </w:tc>
        <w:tc>
          <w:tcPr>
            <w:tcW w:w="2407" w:type="dxa"/>
            <w:vAlign w:val="center"/>
          </w:tcPr>
          <w:p w14:paraId="704B5CF9" w14:textId="77777777" w:rsidR="004D6345" w:rsidRDefault="005B7AA1" w:rsidP="005B7AA1">
            <w:pPr>
              <w:jc w:val="center"/>
            </w:pPr>
            <w:r>
              <w:t>649</w:t>
            </w:r>
          </w:p>
        </w:tc>
        <w:tc>
          <w:tcPr>
            <w:tcW w:w="2407" w:type="dxa"/>
            <w:vAlign w:val="center"/>
          </w:tcPr>
          <w:p w14:paraId="163ABF5C" w14:textId="77777777" w:rsidR="004D6345" w:rsidRDefault="00F96A5C" w:rsidP="005B7AA1">
            <w:pPr>
              <w:jc w:val="center"/>
            </w:pPr>
            <w:r>
              <w:t>732</w:t>
            </w:r>
          </w:p>
        </w:tc>
        <w:tc>
          <w:tcPr>
            <w:tcW w:w="2407" w:type="dxa"/>
            <w:vAlign w:val="center"/>
          </w:tcPr>
          <w:p w14:paraId="66CBEC7C" w14:textId="77777777" w:rsidR="004D6345" w:rsidRDefault="008419F7" w:rsidP="005B7AA1">
            <w:pPr>
              <w:jc w:val="center"/>
            </w:pPr>
            <w:r>
              <w:t>832</w:t>
            </w:r>
          </w:p>
        </w:tc>
        <w:tc>
          <w:tcPr>
            <w:tcW w:w="2407" w:type="dxa"/>
            <w:vAlign w:val="center"/>
          </w:tcPr>
          <w:p w14:paraId="383C3680" w14:textId="77777777" w:rsidR="004D6345" w:rsidRDefault="0026696F" w:rsidP="005B7AA1">
            <w:pPr>
              <w:jc w:val="center"/>
            </w:pPr>
            <w:r>
              <w:t>942</w:t>
            </w:r>
          </w:p>
        </w:tc>
      </w:tr>
      <w:tr w:rsidR="004D6345" w14:paraId="23A645E4" w14:textId="77777777" w:rsidTr="005B7AA1">
        <w:tc>
          <w:tcPr>
            <w:tcW w:w="3530" w:type="dxa"/>
          </w:tcPr>
          <w:p w14:paraId="1BBAED29" w14:textId="77777777" w:rsidR="004D6345" w:rsidRPr="00B359EC" w:rsidRDefault="004D6345" w:rsidP="005B7AA1">
            <w:pPr>
              <w:spacing w:before="20" w:after="20"/>
              <w:rPr>
                <w:b/>
              </w:rPr>
            </w:pPr>
            <w:proofErr w:type="spellStart"/>
            <w:r w:rsidRPr="00B359EC">
              <w:rPr>
                <w:b/>
              </w:rPr>
              <w:t>Nagelkerke</w:t>
            </w:r>
            <w:proofErr w:type="spellEnd"/>
            <w:r w:rsidRPr="00B359EC">
              <w:rPr>
                <w:b/>
              </w:rPr>
              <w:t xml:space="preserve"> R</w:t>
            </w:r>
            <w:r w:rsidRPr="00B359EC">
              <w:rPr>
                <w:b/>
                <w:vertAlign w:val="superscript"/>
              </w:rPr>
              <w:t>2</w:t>
            </w:r>
          </w:p>
        </w:tc>
        <w:tc>
          <w:tcPr>
            <w:tcW w:w="2407" w:type="dxa"/>
            <w:vAlign w:val="center"/>
          </w:tcPr>
          <w:p w14:paraId="6D28F976" w14:textId="77777777" w:rsidR="004D6345" w:rsidRDefault="005B7AA1" w:rsidP="005B7AA1">
            <w:pPr>
              <w:jc w:val="center"/>
            </w:pPr>
            <w:r>
              <w:t>.187</w:t>
            </w:r>
          </w:p>
        </w:tc>
        <w:tc>
          <w:tcPr>
            <w:tcW w:w="2407" w:type="dxa"/>
            <w:vAlign w:val="center"/>
          </w:tcPr>
          <w:p w14:paraId="57F70D37" w14:textId="77777777" w:rsidR="004D6345" w:rsidRDefault="00F96A5C" w:rsidP="005B7AA1">
            <w:pPr>
              <w:jc w:val="center"/>
            </w:pPr>
            <w:r>
              <w:t>.208</w:t>
            </w:r>
          </w:p>
        </w:tc>
        <w:tc>
          <w:tcPr>
            <w:tcW w:w="2407" w:type="dxa"/>
            <w:vAlign w:val="center"/>
          </w:tcPr>
          <w:p w14:paraId="3BC2DFCE" w14:textId="77777777" w:rsidR="004D6345" w:rsidRDefault="008419F7" w:rsidP="005B7AA1">
            <w:pPr>
              <w:jc w:val="center"/>
            </w:pPr>
            <w:r>
              <w:t>.164</w:t>
            </w:r>
          </w:p>
        </w:tc>
        <w:tc>
          <w:tcPr>
            <w:tcW w:w="2407" w:type="dxa"/>
            <w:vAlign w:val="center"/>
          </w:tcPr>
          <w:p w14:paraId="3E10C019" w14:textId="77777777" w:rsidR="004D6345" w:rsidRDefault="0026696F" w:rsidP="005B7AA1">
            <w:pPr>
              <w:jc w:val="center"/>
            </w:pPr>
            <w:r>
              <w:t>.280</w:t>
            </w:r>
          </w:p>
        </w:tc>
      </w:tr>
      <w:tr w:rsidR="004D6345" w14:paraId="7356D00F" w14:textId="77777777" w:rsidTr="005B7AA1">
        <w:tc>
          <w:tcPr>
            <w:tcW w:w="3530" w:type="dxa"/>
          </w:tcPr>
          <w:p w14:paraId="3CD40841" w14:textId="77777777" w:rsidR="004D6345" w:rsidRPr="00B359EC" w:rsidRDefault="004D6345" w:rsidP="005B7AA1">
            <w:pPr>
              <w:spacing w:before="20" w:after="20"/>
              <w:rPr>
                <w:b/>
              </w:rPr>
            </w:pPr>
            <w:r>
              <w:rPr>
                <w:b/>
              </w:rPr>
              <w:t xml:space="preserve">Hosmer and </w:t>
            </w:r>
            <w:proofErr w:type="spellStart"/>
            <w:r>
              <w:rPr>
                <w:b/>
              </w:rPr>
              <w:t>Lemeshow</w:t>
            </w:r>
            <w:proofErr w:type="spellEnd"/>
            <w:r>
              <w:rPr>
                <w:b/>
              </w:rPr>
              <w:t xml:space="preserve"> Test</w:t>
            </w:r>
          </w:p>
        </w:tc>
        <w:tc>
          <w:tcPr>
            <w:tcW w:w="2407" w:type="dxa"/>
            <w:vAlign w:val="center"/>
          </w:tcPr>
          <w:p w14:paraId="2D4D89F2" w14:textId="77777777" w:rsidR="004D6345" w:rsidRDefault="005B7AA1" w:rsidP="005B7AA1">
            <w:pPr>
              <w:jc w:val="center"/>
            </w:pPr>
            <w:r>
              <w:t>.920</w:t>
            </w:r>
          </w:p>
        </w:tc>
        <w:tc>
          <w:tcPr>
            <w:tcW w:w="2407" w:type="dxa"/>
            <w:vAlign w:val="center"/>
          </w:tcPr>
          <w:p w14:paraId="12B1C4B6" w14:textId="77777777" w:rsidR="004D6345" w:rsidRDefault="00F96A5C" w:rsidP="005B7AA1">
            <w:pPr>
              <w:jc w:val="center"/>
            </w:pPr>
            <w:r>
              <w:t>.105</w:t>
            </w:r>
          </w:p>
        </w:tc>
        <w:tc>
          <w:tcPr>
            <w:tcW w:w="2407" w:type="dxa"/>
            <w:vAlign w:val="center"/>
          </w:tcPr>
          <w:p w14:paraId="48D42BA5" w14:textId="77777777" w:rsidR="004D6345" w:rsidRDefault="008419F7" w:rsidP="005B7AA1">
            <w:pPr>
              <w:jc w:val="center"/>
            </w:pPr>
            <w:r>
              <w:t>.216</w:t>
            </w:r>
          </w:p>
        </w:tc>
        <w:tc>
          <w:tcPr>
            <w:tcW w:w="2407" w:type="dxa"/>
            <w:vAlign w:val="center"/>
          </w:tcPr>
          <w:p w14:paraId="0E9B3542" w14:textId="77777777" w:rsidR="004D6345" w:rsidRDefault="0026696F" w:rsidP="005B7AA1">
            <w:pPr>
              <w:jc w:val="center"/>
            </w:pPr>
            <w:r>
              <w:t>.060</w:t>
            </w:r>
          </w:p>
        </w:tc>
      </w:tr>
    </w:tbl>
    <w:p w14:paraId="6478BA4C" w14:textId="77777777" w:rsidR="004D6345" w:rsidRDefault="004D6345" w:rsidP="004D6345">
      <w:pPr>
        <w:spacing w:before="120" w:after="0"/>
        <w:ind w:left="720" w:hanging="720"/>
      </w:pPr>
      <w:r>
        <w:t xml:space="preserve">Notes: </w:t>
      </w:r>
      <w:r>
        <w:tab/>
        <w:t>1. The pool of prescribers who are potential adopters of the 100-patient waiver is all prescribers waivered for 30 patients in the year prior to the column year. Independent variables are for the year prior to the column year.</w:t>
      </w:r>
    </w:p>
    <w:p w14:paraId="068FD05A" w14:textId="77777777" w:rsidR="004D6345" w:rsidRDefault="004D6345" w:rsidP="004D6345">
      <w:pPr>
        <w:spacing w:after="0"/>
        <w:ind w:left="720"/>
      </w:pPr>
      <w:r>
        <w:t>2. The regressions control for county variations in prescriber location via a dichotomous variable for each county (results not shown).</w:t>
      </w:r>
    </w:p>
    <w:p w14:paraId="5638BEE5" w14:textId="77777777" w:rsidR="004D6345" w:rsidRDefault="004D6345" w:rsidP="004D6345">
      <w:pPr>
        <w:spacing w:after="0"/>
        <w:ind w:left="720"/>
      </w:pPr>
      <w:r>
        <w:t xml:space="preserve">3. Odds ratios significant at the .05 level are shown in </w:t>
      </w:r>
      <w:r w:rsidRPr="008D099F">
        <w:rPr>
          <w:b/>
        </w:rPr>
        <w:t>bold</w:t>
      </w:r>
      <w:r>
        <w:t>.</w:t>
      </w:r>
    </w:p>
    <w:p w14:paraId="5A004BDA" w14:textId="77777777" w:rsidR="004D6345" w:rsidRDefault="004D6345" w:rsidP="004D6345">
      <w:pPr>
        <w:spacing w:after="0"/>
        <w:ind w:left="720"/>
      </w:pPr>
      <w:r>
        <w:t>4. Medicaid data were not available prior to 2016.</w:t>
      </w:r>
    </w:p>
    <w:p w14:paraId="586AE347" w14:textId="77777777" w:rsidR="004D6345" w:rsidRDefault="004D6345" w:rsidP="004D6345">
      <w:pPr>
        <w:spacing w:after="0"/>
        <w:ind w:left="720"/>
      </w:pPr>
      <w:r>
        <w:t>5. The reference category is specialty missing.</w:t>
      </w:r>
    </w:p>
    <w:p w14:paraId="179E0904" w14:textId="77777777" w:rsidR="004D6345" w:rsidRDefault="004D6345" w:rsidP="004D6345">
      <w:pPr>
        <w:pStyle w:val="ListParagraph"/>
        <w:ind w:left="0"/>
      </w:pPr>
    </w:p>
    <w:p w14:paraId="24CC9959" w14:textId="77777777" w:rsidR="003770AC" w:rsidRDefault="003770AC" w:rsidP="004D6345">
      <w:pPr>
        <w:spacing w:after="0"/>
        <w:rPr>
          <w:b/>
        </w:rPr>
      </w:pPr>
    </w:p>
    <w:p w14:paraId="5823BC54" w14:textId="77777777" w:rsidR="00CA0839" w:rsidRDefault="00CA0839" w:rsidP="004D6345">
      <w:pPr>
        <w:spacing w:after="0"/>
        <w:rPr>
          <w:b/>
        </w:rPr>
      </w:pPr>
      <w:r>
        <w:rPr>
          <w:b/>
        </w:rPr>
        <w:lastRenderedPageBreak/>
        <w:t>IV.</w:t>
      </w:r>
      <w:r w:rsidR="00BE1391">
        <w:rPr>
          <w:b/>
        </w:rPr>
        <w:t>2</w:t>
      </w:r>
      <w:r>
        <w:rPr>
          <w:b/>
        </w:rPr>
        <w:t xml:space="preserve">b: </w:t>
      </w:r>
      <w:r w:rsidRPr="00B359EC">
        <w:rPr>
          <w:b/>
        </w:rPr>
        <w:t>Dependent variable:</w:t>
      </w:r>
    </w:p>
    <w:p w14:paraId="6DFCC9EA" w14:textId="77777777" w:rsidR="004D6345" w:rsidRPr="00B359EC" w:rsidRDefault="004D6345" w:rsidP="004D6345">
      <w:pPr>
        <w:spacing w:after="0"/>
        <w:rPr>
          <w:b/>
        </w:rPr>
      </w:pPr>
      <w:r>
        <w:rPr>
          <w:b/>
        </w:rPr>
        <w:t>Becoming waivered f</w:t>
      </w:r>
      <w:r w:rsidRPr="00B359EC">
        <w:rPr>
          <w:b/>
        </w:rPr>
        <w:t xml:space="preserve">or </w:t>
      </w:r>
      <w:r>
        <w:rPr>
          <w:b/>
        </w:rPr>
        <w:t>100</w:t>
      </w:r>
      <w:r w:rsidRPr="00B359EC">
        <w:rPr>
          <w:b/>
        </w:rPr>
        <w:t xml:space="preserve"> patients in:</w:t>
      </w:r>
      <w:r w:rsidRPr="00B359EC">
        <w:rPr>
          <w:b/>
        </w:rPr>
        <w:tab/>
        <w:t xml:space="preserve">  </w:t>
      </w:r>
      <w:r>
        <w:rPr>
          <w:b/>
        </w:rPr>
        <w:t xml:space="preserve">            </w:t>
      </w:r>
      <w:r w:rsidRPr="00B359EC">
        <w:rPr>
          <w:b/>
        </w:rPr>
        <w:t>2016</w:t>
      </w:r>
      <w:r w:rsidRPr="00B359EC">
        <w:rPr>
          <w:b/>
        </w:rPr>
        <w:tab/>
        <w:t xml:space="preserve"> </w:t>
      </w:r>
      <w:r>
        <w:rPr>
          <w:b/>
        </w:rPr>
        <w:t xml:space="preserve">      </w:t>
      </w:r>
      <w:r w:rsidRPr="00B359EC">
        <w:rPr>
          <w:b/>
        </w:rPr>
        <w:t xml:space="preserve">        </w:t>
      </w:r>
      <w:r>
        <w:rPr>
          <w:b/>
        </w:rPr>
        <w:t xml:space="preserve">                  </w:t>
      </w:r>
      <w:r w:rsidRPr="00B359EC">
        <w:rPr>
          <w:b/>
        </w:rPr>
        <w:t>2017</w:t>
      </w:r>
      <w:r w:rsidRPr="00B359EC">
        <w:rPr>
          <w:b/>
        </w:rPr>
        <w:tab/>
        <w:t xml:space="preserve">     </w:t>
      </w:r>
      <w:r w:rsidRPr="00B359EC">
        <w:rPr>
          <w:b/>
        </w:rPr>
        <w:tab/>
        <w:t xml:space="preserve">  </w:t>
      </w:r>
      <w:r>
        <w:rPr>
          <w:b/>
        </w:rPr>
        <w:t xml:space="preserve">                      </w:t>
      </w:r>
      <w:r w:rsidRPr="00B359EC">
        <w:rPr>
          <w:b/>
        </w:rPr>
        <w:t xml:space="preserve">2018    </w:t>
      </w:r>
      <w:r>
        <w:rPr>
          <w:b/>
        </w:rPr>
        <w:tab/>
      </w:r>
      <w:r w:rsidRPr="00B359EC">
        <w:rPr>
          <w:b/>
        </w:rPr>
        <w:t xml:space="preserve"> </w:t>
      </w:r>
      <w:r>
        <w:rPr>
          <w:b/>
        </w:rPr>
        <w:t xml:space="preserve">   </w:t>
      </w:r>
      <w:r>
        <w:rPr>
          <w:b/>
        </w:rPr>
        <w:tab/>
        <w:t xml:space="preserve">    </w:t>
      </w:r>
      <w:r w:rsidRPr="00B359EC">
        <w:rPr>
          <w:b/>
        </w:rPr>
        <w:t>2019 (1</w:t>
      </w:r>
      <w:r w:rsidRPr="00B359EC">
        <w:rPr>
          <w:b/>
          <w:vertAlign w:val="superscript"/>
        </w:rPr>
        <w:t>st</w:t>
      </w:r>
      <w:r w:rsidRPr="00B359EC">
        <w:rPr>
          <w:b/>
        </w:rPr>
        <w:t xml:space="preserve"> 8 months)</w:t>
      </w:r>
    </w:p>
    <w:tbl>
      <w:tblPr>
        <w:tblStyle w:val="TableGrid"/>
        <w:tblW w:w="13158" w:type="dxa"/>
        <w:tblLayout w:type="fixed"/>
        <w:tblLook w:val="04A0" w:firstRow="1" w:lastRow="0" w:firstColumn="1" w:lastColumn="0" w:noHBand="0" w:noVBand="1"/>
      </w:tblPr>
      <w:tblGrid>
        <w:gridCol w:w="3530"/>
        <w:gridCol w:w="2407"/>
        <w:gridCol w:w="2407"/>
        <w:gridCol w:w="2407"/>
        <w:gridCol w:w="2407"/>
      </w:tblGrid>
      <w:tr w:rsidR="004D6345" w14:paraId="2E1F1076" w14:textId="77777777" w:rsidTr="005B7AA1">
        <w:tc>
          <w:tcPr>
            <w:tcW w:w="3530" w:type="dxa"/>
          </w:tcPr>
          <w:p w14:paraId="15DB0953" w14:textId="77777777" w:rsidR="004D6345" w:rsidRPr="00B359EC" w:rsidRDefault="004D6345" w:rsidP="005B7AA1">
            <w:pPr>
              <w:spacing w:before="20" w:after="20"/>
              <w:rPr>
                <w:b/>
              </w:rPr>
            </w:pPr>
            <w:r w:rsidRPr="00B359EC">
              <w:rPr>
                <w:b/>
              </w:rPr>
              <w:t>Predictors</w:t>
            </w:r>
            <w:r w:rsidRPr="00AB471E">
              <w:rPr>
                <w:b/>
                <w:vertAlign w:val="superscript"/>
              </w:rPr>
              <w:t>1</w:t>
            </w:r>
            <w:r>
              <w:rPr>
                <w:b/>
                <w:vertAlign w:val="superscript"/>
              </w:rPr>
              <w:t>,2</w:t>
            </w:r>
            <w:r w:rsidRPr="00B359EC">
              <w:rPr>
                <w:b/>
              </w:rPr>
              <w:t>:</w:t>
            </w:r>
          </w:p>
        </w:tc>
        <w:tc>
          <w:tcPr>
            <w:tcW w:w="2407" w:type="dxa"/>
            <w:vAlign w:val="center"/>
          </w:tcPr>
          <w:p w14:paraId="0F017D9C" w14:textId="77777777" w:rsidR="004D6345" w:rsidRPr="00B359EC" w:rsidRDefault="004D6345" w:rsidP="005B7AA1">
            <w:pPr>
              <w:jc w:val="center"/>
              <w:rPr>
                <w:b/>
              </w:rPr>
            </w:pPr>
            <w:r>
              <w:rPr>
                <w:b/>
              </w:rPr>
              <w:t>OR (95% CI)</w:t>
            </w:r>
          </w:p>
        </w:tc>
        <w:tc>
          <w:tcPr>
            <w:tcW w:w="2407" w:type="dxa"/>
            <w:vAlign w:val="center"/>
          </w:tcPr>
          <w:p w14:paraId="473C95F3" w14:textId="77777777" w:rsidR="004D6345" w:rsidRPr="00B359EC" w:rsidRDefault="004D6345" w:rsidP="005B7AA1">
            <w:pPr>
              <w:jc w:val="center"/>
              <w:rPr>
                <w:b/>
              </w:rPr>
            </w:pPr>
            <w:r>
              <w:rPr>
                <w:b/>
              </w:rPr>
              <w:t>OR (95% CI)</w:t>
            </w:r>
          </w:p>
        </w:tc>
        <w:tc>
          <w:tcPr>
            <w:tcW w:w="2407" w:type="dxa"/>
            <w:vAlign w:val="center"/>
          </w:tcPr>
          <w:p w14:paraId="7A5161AB" w14:textId="77777777" w:rsidR="004D6345" w:rsidRPr="00B359EC" w:rsidRDefault="004D6345" w:rsidP="005B7AA1">
            <w:pPr>
              <w:jc w:val="center"/>
              <w:rPr>
                <w:b/>
              </w:rPr>
            </w:pPr>
            <w:r>
              <w:rPr>
                <w:b/>
              </w:rPr>
              <w:t>OR (95% CI)</w:t>
            </w:r>
          </w:p>
        </w:tc>
        <w:tc>
          <w:tcPr>
            <w:tcW w:w="2407" w:type="dxa"/>
            <w:vAlign w:val="center"/>
          </w:tcPr>
          <w:p w14:paraId="1F1CC786" w14:textId="77777777" w:rsidR="004D6345" w:rsidRPr="00B359EC" w:rsidRDefault="004D6345" w:rsidP="005B7AA1">
            <w:pPr>
              <w:jc w:val="center"/>
              <w:rPr>
                <w:b/>
              </w:rPr>
            </w:pPr>
            <w:r>
              <w:rPr>
                <w:b/>
              </w:rPr>
              <w:t>OR (95% CI)</w:t>
            </w:r>
          </w:p>
        </w:tc>
      </w:tr>
      <w:tr w:rsidR="004D6345" w14:paraId="7495B1CB" w14:textId="77777777" w:rsidTr="005B7AA1">
        <w:tc>
          <w:tcPr>
            <w:tcW w:w="3530" w:type="dxa"/>
          </w:tcPr>
          <w:p w14:paraId="78C73BDB" w14:textId="77777777" w:rsidR="004D6345" w:rsidRPr="00B359EC" w:rsidRDefault="004D6345" w:rsidP="005B7AA1">
            <w:pPr>
              <w:spacing w:before="20" w:after="20"/>
              <w:rPr>
                <w:b/>
              </w:rPr>
            </w:pPr>
            <w:r w:rsidRPr="00B359EC">
              <w:rPr>
                <w:b/>
              </w:rPr>
              <w:t>Median monthly active patients</w:t>
            </w:r>
          </w:p>
        </w:tc>
        <w:tc>
          <w:tcPr>
            <w:tcW w:w="2407" w:type="dxa"/>
            <w:vAlign w:val="center"/>
          </w:tcPr>
          <w:p w14:paraId="0E503B38" w14:textId="77777777" w:rsidR="004D6345" w:rsidRPr="00EF34DF" w:rsidRDefault="006036CD" w:rsidP="005B7AA1">
            <w:pPr>
              <w:jc w:val="center"/>
              <w:rPr>
                <w:b/>
              </w:rPr>
            </w:pPr>
            <w:r>
              <w:rPr>
                <w:b/>
              </w:rPr>
              <w:t>1.317 (1.202, 1.443)</w:t>
            </w:r>
          </w:p>
        </w:tc>
        <w:tc>
          <w:tcPr>
            <w:tcW w:w="2407" w:type="dxa"/>
            <w:vAlign w:val="center"/>
          </w:tcPr>
          <w:p w14:paraId="36FC9428" w14:textId="77777777" w:rsidR="004D6345" w:rsidRPr="00EF34DF" w:rsidRDefault="00D16FBC" w:rsidP="005B7AA1">
            <w:pPr>
              <w:jc w:val="center"/>
              <w:rPr>
                <w:b/>
              </w:rPr>
            </w:pPr>
            <w:r>
              <w:rPr>
                <w:b/>
              </w:rPr>
              <w:t>1.088 (1.017, 1.164)</w:t>
            </w:r>
          </w:p>
        </w:tc>
        <w:tc>
          <w:tcPr>
            <w:tcW w:w="2407" w:type="dxa"/>
            <w:vAlign w:val="center"/>
          </w:tcPr>
          <w:p w14:paraId="12CCA0F2" w14:textId="77777777" w:rsidR="004D6345" w:rsidRPr="00A45CF6" w:rsidRDefault="006E14BD" w:rsidP="005B7AA1">
            <w:pPr>
              <w:jc w:val="center"/>
              <w:rPr>
                <w:b/>
              </w:rPr>
            </w:pPr>
            <w:r>
              <w:rPr>
                <w:b/>
              </w:rPr>
              <w:t>1.078 (1.010, 1.151)</w:t>
            </w:r>
          </w:p>
        </w:tc>
        <w:tc>
          <w:tcPr>
            <w:tcW w:w="2407" w:type="dxa"/>
            <w:vAlign w:val="center"/>
          </w:tcPr>
          <w:p w14:paraId="4F47124B" w14:textId="77777777" w:rsidR="004D6345" w:rsidRDefault="00E016A1" w:rsidP="005B7AA1">
            <w:pPr>
              <w:jc w:val="center"/>
            </w:pPr>
            <w:r>
              <w:t>.990 (.915, 1.070)</w:t>
            </w:r>
          </w:p>
        </w:tc>
      </w:tr>
      <w:tr w:rsidR="004D6345" w14:paraId="1773DD5C" w14:textId="77777777" w:rsidTr="005B7AA1">
        <w:tc>
          <w:tcPr>
            <w:tcW w:w="3530" w:type="dxa"/>
          </w:tcPr>
          <w:p w14:paraId="2DD29DD3" w14:textId="77777777" w:rsidR="004D6345" w:rsidRPr="00B359EC" w:rsidRDefault="004D6345" w:rsidP="005B7AA1">
            <w:pPr>
              <w:spacing w:before="20" w:after="20"/>
              <w:rPr>
                <w:b/>
              </w:rPr>
            </w:pPr>
            <w:r w:rsidRPr="00B359EC">
              <w:rPr>
                <w:b/>
              </w:rPr>
              <w:t>Degree (no. of shared-patient ties of at least 10 patients</w:t>
            </w:r>
            <w:r>
              <w:rPr>
                <w:b/>
              </w:rPr>
              <w:t>)</w:t>
            </w:r>
          </w:p>
        </w:tc>
        <w:tc>
          <w:tcPr>
            <w:tcW w:w="2407" w:type="dxa"/>
            <w:vAlign w:val="center"/>
          </w:tcPr>
          <w:p w14:paraId="03FD82D8" w14:textId="77777777" w:rsidR="004D6345" w:rsidRPr="006036CD" w:rsidRDefault="006036CD" w:rsidP="005B7AA1">
            <w:pPr>
              <w:jc w:val="center"/>
            </w:pPr>
            <w:r w:rsidRPr="006036CD">
              <w:t>.801 (.461, 1.389)</w:t>
            </w:r>
          </w:p>
        </w:tc>
        <w:tc>
          <w:tcPr>
            <w:tcW w:w="2407" w:type="dxa"/>
            <w:vAlign w:val="center"/>
          </w:tcPr>
          <w:p w14:paraId="2F914E1E" w14:textId="77777777" w:rsidR="004D6345" w:rsidRDefault="00D16FBC" w:rsidP="005B7AA1">
            <w:pPr>
              <w:jc w:val="center"/>
            </w:pPr>
            <w:r>
              <w:t>1.314 (.945, 1.827)</w:t>
            </w:r>
          </w:p>
        </w:tc>
        <w:tc>
          <w:tcPr>
            <w:tcW w:w="2407" w:type="dxa"/>
            <w:vAlign w:val="center"/>
          </w:tcPr>
          <w:p w14:paraId="746EB0D5" w14:textId="77777777" w:rsidR="004D6345" w:rsidRPr="00A45CF6" w:rsidRDefault="006E14BD" w:rsidP="005B7AA1">
            <w:pPr>
              <w:jc w:val="center"/>
              <w:rPr>
                <w:b/>
              </w:rPr>
            </w:pPr>
            <w:r>
              <w:rPr>
                <w:b/>
              </w:rPr>
              <w:t>1.431 (1.003, 2.040)</w:t>
            </w:r>
          </w:p>
        </w:tc>
        <w:tc>
          <w:tcPr>
            <w:tcW w:w="2407" w:type="dxa"/>
            <w:vAlign w:val="center"/>
          </w:tcPr>
          <w:p w14:paraId="5582D6B6" w14:textId="77777777" w:rsidR="004D6345" w:rsidRPr="002D758E" w:rsidRDefault="00E016A1" w:rsidP="005B7AA1">
            <w:pPr>
              <w:jc w:val="center"/>
              <w:rPr>
                <w:b/>
              </w:rPr>
            </w:pPr>
            <w:r>
              <w:rPr>
                <w:b/>
              </w:rPr>
              <w:t>1.649 (1.221, 2.227)</w:t>
            </w:r>
          </w:p>
        </w:tc>
      </w:tr>
      <w:tr w:rsidR="004D6345" w14:paraId="4E1DC3EF" w14:textId="77777777" w:rsidTr="005B7AA1">
        <w:tc>
          <w:tcPr>
            <w:tcW w:w="3530" w:type="dxa"/>
          </w:tcPr>
          <w:p w14:paraId="52FFD2B6" w14:textId="77777777" w:rsidR="004D6345" w:rsidRPr="00B359EC" w:rsidRDefault="004D6345" w:rsidP="005B7AA1">
            <w:pPr>
              <w:spacing w:before="20" w:after="20"/>
              <w:rPr>
                <w:b/>
              </w:rPr>
            </w:pPr>
            <w:r w:rsidRPr="00B359EC">
              <w:rPr>
                <w:b/>
              </w:rPr>
              <w:t>Percent of patients on Medicaid</w:t>
            </w:r>
          </w:p>
        </w:tc>
        <w:tc>
          <w:tcPr>
            <w:tcW w:w="2407" w:type="dxa"/>
            <w:vAlign w:val="center"/>
          </w:tcPr>
          <w:p w14:paraId="3B43641D" w14:textId="77777777" w:rsidR="004D6345" w:rsidRDefault="004D6345" w:rsidP="005B7AA1">
            <w:pPr>
              <w:jc w:val="center"/>
            </w:pPr>
            <w:r>
              <w:t>-</w:t>
            </w:r>
            <w:r w:rsidRPr="00874849">
              <w:rPr>
                <w:vertAlign w:val="superscript"/>
              </w:rPr>
              <w:t>4</w:t>
            </w:r>
          </w:p>
        </w:tc>
        <w:tc>
          <w:tcPr>
            <w:tcW w:w="2407" w:type="dxa"/>
            <w:vAlign w:val="center"/>
          </w:tcPr>
          <w:p w14:paraId="236477C4" w14:textId="77777777" w:rsidR="004D6345" w:rsidRPr="00D16FBC" w:rsidRDefault="00D16FBC" w:rsidP="005B7AA1">
            <w:pPr>
              <w:jc w:val="center"/>
              <w:rPr>
                <w:b/>
              </w:rPr>
            </w:pPr>
            <w:r w:rsidRPr="00D16FBC">
              <w:rPr>
                <w:b/>
              </w:rPr>
              <w:t>1.020 (1.012, 1.028)</w:t>
            </w:r>
          </w:p>
        </w:tc>
        <w:tc>
          <w:tcPr>
            <w:tcW w:w="2407" w:type="dxa"/>
            <w:vAlign w:val="center"/>
          </w:tcPr>
          <w:p w14:paraId="60535BC4" w14:textId="77777777" w:rsidR="004D6345" w:rsidRPr="006F64AF" w:rsidRDefault="006F64AF" w:rsidP="005B7AA1">
            <w:pPr>
              <w:jc w:val="center"/>
              <w:rPr>
                <w:b/>
              </w:rPr>
            </w:pPr>
            <w:r w:rsidRPr="006F64AF">
              <w:rPr>
                <w:b/>
              </w:rPr>
              <w:t>1.015 (1.008, 1.021)</w:t>
            </w:r>
          </w:p>
        </w:tc>
        <w:tc>
          <w:tcPr>
            <w:tcW w:w="2407" w:type="dxa"/>
            <w:vAlign w:val="center"/>
          </w:tcPr>
          <w:p w14:paraId="78F44591" w14:textId="77777777" w:rsidR="004D6345" w:rsidRPr="00E016A1" w:rsidRDefault="00E016A1" w:rsidP="005B7AA1">
            <w:pPr>
              <w:jc w:val="center"/>
              <w:rPr>
                <w:b/>
              </w:rPr>
            </w:pPr>
            <w:r w:rsidRPr="00E016A1">
              <w:rPr>
                <w:b/>
              </w:rPr>
              <w:t>1.021 (1.014, 1.028)</w:t>
            </w:r>
          </w:p>
        </w:tc>
      </w:tr>
      <w:tr w:rsidR="004D6345" w14:paraId="0C1673C1" w14:textId="77777777" w:rsidTr="005B7AA1">
        <w:tc>
          <w:tcPr>
            <w:tcW w:w="3530" w:type="dxa"/>
          </w:tcPr>
          <w:p w14:paraId="66F29631" w14:textId="77777777" w:rsidR="004D6345" w:rsidRPr="00B359EC" w:rsidRDefault="004D6345" w:rsidP="00A57372">
            <w:pPr>
              <w:spacing w:before="20" w:after="20"/>
              <w:rPr>
                <w:b/>
              </w:rPr>
            </w:pPr>
            <w:r w:rsidRPr="00B359EC">
              <w:rPr>
                <w:b/>
              </w:rPr>
              <w:t xml:space="preserve">Years waivered for </w:t>
            </w:r>
            <w:r w:rsidR="00A57372">
              <w:rPr>
                <w:b/>
              </w:rPr>
              <w:t>3</w:t>
            </w:r>
            <w:r w:rsidRPr="00B359EC">
              <w:rPr>
                <w:b/>
              </w:rPr>
              <w:t xml:space="preserve">0 patients </w:t>
            </w:r>
          </w:p>
        </w:tc>
        <w:tc>
          <w:tcPr>
            <w:tcW w:w="2407" w:type="dxa"/>
            <w:vAlign w:val="center"/>
          </w:tcPr>
          <w:p w14:paraId="0378C500" w14:textId="77777777" w:rsidR="004D6345" w:rsidRPr="006036CD" w:rsidRDefault="006036CD" w:rsidP="005B7AA1">
            <w:pPr>
              <w:jc w:val="center"/>
              <w:rPr>
                <w:b/>
              </w:rPr>
            </w:pPr>
            <w:r w:rsidRPr="006036CD">
              <w:rPr>
                <w:b/>
              </w:rPr>
              <w:t>.639 (.563, .724)</w:t>
            </w:r>
          </w:p>
        </w:tc>
        <w:tc>
          <w:tcPr>
            <w:tcW w:w="2407" w:type="dxa"/>
            <w:vAlign w:val="center"/>
          </w:tcPr>
          <w:p w14:paraId="4B2A3364" w14:textId="77777777" w:rsidR="004D6345" w:rsidRPr="00EF34DF" w:rsidRDefault="00D16FBC" w:rsidP="005B7AA1">
            <w:pPr>
              <w:jc w:val="center"/>
              <w:rPr>
                <w:b/>
              </w:rPr>
            </w:pPr>
            <w:r>
              <w:rPr>
                <w:b/>
              </w:rPr>
              <w:t>.833 (.764, .907)</w:t>
            </w:r>
          </w:p>
        </w:tc>
        <w:tc>
          <w:tcPr>
            <w:tcW w:w="2407" w:type="dxa"/>
            <w:vAlign w:val="center"/>
          </w:tcPr>
          <w:p w14:paraId="2D026B7B" w14:textId="77777777" w:rsidR="004D6345" w:rsidRPr="00A45CF6" w:rsidRDefault="006F64AF" w:rsidP="005B7AA1">
            <w:pPr>
              <w:jc w:val="center"/>
              <w:rPr>
                <w:b/>
              </w:rPr>
            </w:pPr>
            <w:r>
              <w:rPr>
                <w:b/>
              </w:rPr>
              <w:t>.810 (.742, .885)</w:t>
            </w:r>
          </w:p>
        </w:tc>
        <w:tc>
          <w:tcPr>
            <w:tcW w:w="2407" w:type="dxa"/>
            <w:vAlign w:val="center"/>
          </w:tcPr>
          <w:p w14:paraId="50E21397" w14:textId="77777777" w:rsidR="004D6345" w:rsidRPr="002D758E" w:rsidRDefault="00E016A1" w:rsidP="005B7AA1">
            <w:pPr>
              <w:jc w:val="center"/>
              <w:rPr>
                <w:b/>
              </w:rPr>
            </w:pPr>
            <w:r>
              <w:rPr>
                <w:b/>
              </w:rPr>
              <w:t>.899 (.819, .987)</w:t>
            </w:r>
          </w:p>
        </w:tc>
      </w:tr>
      <w:tr w:rsidR="004D6345" w14:paraId="44B0C959" w14:textId="77777777" w:rsidTr="005B7AA1">
        <w:tc>
          <w:tcPr>
            <w:tcW w:w="3530" w:type="dxa"/>
          </w:tcPr>
          <w:p w14:paraId="54637C2B" w14:textId="77777777" w:rsidR="004D6345" w:rsidRDefault="004D6345" w:rsidP="005B7AA1">
            <w:pPr>
              <w:spacing w:before="20" w:after="20"/>
              <w:rPr>
                <w:b/>
              </w:rPr>
            </w:pPr>
            <w:r>
              <w:rPr>
                <w:b/>
              </w:rPr>
              <w:t>Medical specialty</w:t>
            </w:r>
            <w:r>
              <w:rPr>
                <w:b/>
                <w:vertAlign w:val="superscript"/>
              </w:rPr>
              <w:t>5</w:t>
            </w:r>
            <w:r>
              <w:rPr>
                <w:b/>
              </w:rPr>
              <w:t>:</w:t>
            </w:r>
          </w:p>
          <w:p w14:paraId="079F5B49" w14:textId="77777777" w:rsidR="004D6345" w:rsidRPr="00B359EC" w:rsidRDefault="004D6345" w:rsidP="005B7AA1">
            <w:pPr>
              <w:spacing w:before="20" w:after="20"/>
              <w:rPr>
                <w:b/>
              </w:rPr>
            </w:pPr>
            <w:r>
              <w:rPr>
                <w:b/>
              </w:rPr>
              <w:t xml:space="preserve">     Physician - general</w:t>
            </w:r>
          </w:p>
        </w:tc>
        <w:tc>
          <w:tcPr>
            <w:tcW w:w="2407" w:type="dxa"/>
            <w:vAlign w:val="center"/>
          </w:tcPr>
          <w:p w14:paraId="077DB4F2" w14:textId="77777777" w:rsidR="004D6345" w:rsidRDefault="006036CD" w:rsidP="005B7AA1">
            <w:pPr>
              <w:jc w:val="center"/>
            </w:pPr>
            <w:r>
              <w:t>1.676 (.894, 3.144)</w:t>
            </w:r>
          </w:p>
        </w:tc>
        <w:tc>
          <w:tcPr>
            <w:tcW w:w="2407" w:type="dxa"/>
            <w:vAlign w:val="center"/>
          </w:tcPr>
          <w:p w14:paraId="7C936EF1" w14:textId="77777777" w:rsidR="004D6345" w:rsidRDefault="00D16FBC" w:rsidP="005B7AA1">
            <w:pPr>
              <w:jc w:val="center"/>
            </w:pPr>
            <w:r>
              <w:t>1.264 (.622, 2.568)</w:t>
            </w:r>
          </w:p>
        </w:tc>
        <w:tc>
          <w:tcPr>
            <w:tcW w:w="2407" w:type="dxa"/>
            <w:vAlign w:val="center"/>
          </w:tcPr>
          <w:p w14:paraId="3F141B3F" w14:textId="77777777" w:rsidR="004D6345" w:rsidRPr="006F64AF" w:rsidRDefault="006F64AF" w:rsidP="005B7AA1">
            <w:pPr>
              <w:jc w:val="center"/>
              <w:rPr>
                <w:b/>
              </w:rPr>
            </w:pPr>
            <w:r w:rsidRPr="006F64AF">
              <w:rPr>
                <w:b/>
              </w:rPr>
              <w:t>.354 (.200, .626)</w:t>
            </w:r>
          </w:p>
        </w:tc>
        <w:tc>
          <w:tcPr>
            <w:tcW w:w="2407" w:type="dxa"/>
            <w:vAlign w:val="center"/>
          </w:tcPr>
          <w:p w14:paraId="016617EE" w14:textId="77777777" w:rsidR="004D6345" w:rsidRDefault="00E016A1" w:rsidP="005B7AA1">
            <w:pPr>
              <w:jc w:val="center"/>
            </w:pPr>
            <w:r>
              <w:t>.567 (.285, 1.129)</w:t>
            </w:r>
          </w:p>
        </w:tc>
      </w:tr>
      <w:tr w:rsidR="004D6345" w14:paraId="690E13AD" w14:textId="77777777" w:rsidTr="005B7AA1">
        <w:tc>
          <w:tcPr>
            <w:tcW w:w="3530" w:type="dxa"/>
          </w:tcPr>
          <w:p w14:paraId="4D29248A" w14:textId="77777777" w:rsidR="004D6345" w:rsidRDefault="004D6345" w:rsidP="005B7AA1">
            <w:pPr>
              <w:spacing w:before="20" w:after="20"/>
              <w:rPr>
                <w:b/>
              </w:rPr>
            </w:pPr>
            <w:r>
              <w:rPr>
                <w:b/>
              </w:rPr>
              <w:t xml:space="preserve">     Physician – psychiatry &amp;    </w:t>
            </w:r>
          </w:p>
          <w:p w14:paraId="3E6B92D5" w14:textId="77777777" w:rsidR="004D6345" w:rsidRPr="00B359EC" w:rsidRDefault="004D6345" w:rsidP="005B7AA1">
            <w:pPr>
              <w:spacing w:before="20" w:after="20"/>
              <w:rPr>
                <w:b/>
              </w:rPr>
            </w:pPr>
            <w:r>
              <w:rPr>
                <w:b/>
              </w:rPr>
              <w:t xml:space="preserve">     neurology</w:t>
            </w:r>
          </w:p>
        </w:tc>
        <w:tc>
          <w:tcPr>
            <w:tcW w:w="2407" w:type="dxa"/>
            <w:vAlign w:val="center"/>
          </w:tcPr>
          <w:p w14:paraId="3FECC0E8" w14:textId="77777777" w:rsidR="004D6345" w:rsidRDefault="006036CD" w:rsidP="005B7AA1">
            <w:pPr>
              <w:jc w:val="center"/>
            </w:pPr>
            <w:r>
              <w:t>.779 (.389, 1.557)</w:t>
            </w:r>
          </w:p>
        </w:tc>
        <w:tc>
          <w:tcPr>
            <w:tcW w:w="2407" w:type="dxa"/>
            <w:vAlign w:val="center"/>
          </w:tcPr>
          <w:p w14:paraId="78B161B7" w14:textId="77777777" w:rsidR="004D6345" w:rsidRDefault="00D16FBC" w:rsidP="005B7AA1">
            <w:pPr>
              <w:jc w:val="center"/>
            </w:pPr>
            <w:r>
              <w:t>.803 (.359, 1.798)</w:t>
            </w:r>
          </w:p>
        </w:tc>
        <w:tc>
          <w:tcPr>
            <w:tcW w:w="2407" w:type="dxa"/>
            <w:vAlign w:val="center"/>
          </w:tcPr>
          <w:p w14:paraId="47FE96BA" w14:textId="77777777" w:rsidR="004D6345" w:rsidRPr="006F64AF" w:rsidRDefault="006F64AF" w:rsidP="005B7AA1">
            <w:pPr>
              <w:jc w:val="center"/>
              <w:rPr>
                <w:b/>
              </w:rPr>
            </w:pPr>
            <w:r w:rsidRPr="006F64AF">
              <w:rPr>
                <w:b/>
              </w:rPr>
              <w:t>.266 (.123, .573)</w:t>
            </w:r>
          </w:p>
        </w:tc>
        <w:tc>
          <w:tcPr>
            <w:tcW w:w="2407" w:type="dxa"/>
            <w:vAlign w:val="center"/>
          </w:tcPr>
          <w:p w14:paraId="0CE9311E" w14:textId="77777777" w:rsidR="004D6345" w:rsidRDefault="00E016A1" w:rsidP="005B7AA1">
            <w:pPr>
              <w:jc w:val="center"/>
            </w:pPr>
            <w:r>
              <w:t>.494 (.192, 1.273)</w:t>
            </w:r>
          </w:p>
        </w:tc>
      </w:tr>
      <w:tr w:rsidR="004D6345" w14:paraId="4586627A" w14:textId="77777777" w:rsidTr="005B7AA1">
        <w:tc>
          <w:tcPr>
            <w:tcW w:w="3530" w:type="dxa"/>
          </w:tcPr>
          <w:p w14:paraId="5C15D480" w14:textId="77777777" w:rsidR="004D6345" w:rsidRPr="00B359EC" w:rsidRDefault="004D6345" w:rsidP="005B7AA1">
            <w:pPr>
              <w:spacing w:before="20" w:after="20"/>
              <w:rPr>
                <w:b/>
              </w:rPr>
            </w:pPr>
            <w:r>
              <w:rPr>
                <w:b/>
              </w:rPr>
              <w:t xml:space="preserve">     Physician - other</w:t>
            </w:r>
          </w:p>
        </w:tc>
        <w:tc>
          <w:tcPr>
            <w:tcW w:w="2407" w:type="dxa"/>
            <w:vAlign w:val="center"/>
          </w:tcPr>
          <w:p w14:paraId="4C86079E" w14:textId="77777777" w:rsidR="004D6345" w:rsidRDefault="006036CD" w:rsidP="005B7AA1">
            <w:pPr>
              <w:jc w:val="center"/>
            </w:pPr>
            <w:r>
              <w:t>1.710 (.657, 4.446)</w:t>
            </w:r>
          </w:p>
        </w:tc>
        <w:tc>
          <w:tcPr>
            <w:tcW w:w="2407" w:type="dxa"/>
            <w:vAlign w:val="center"/>
          </w:tcPr>
          <w:p w14:paraId="4CDF1F6D" w14:textId="77777777" w:rsidR="004D6345" w:rsidRDefault="00D16FBC" w:rsidP="005B7AA1">
            <w:pPr>
              <w:jc w:val="center"/>
            </w:pPr>
            <w:r>
              <w:t>1.059 (.448, 2.504)</w:t>
            </w:r>
          </w:p>
        </w:tc>
        <w:tc>
          <w:tcPr>
            <w:tcW w:w="2407" w:type="dxa"/>
            <w:vAlign w:val="center"/>
          </w:tcPr>
          <w:p w14:paraId="26C56913" w14:textId="77777777" w:rsidR="004D6345" w:rsidRDefault="006F64AF" w:rsidP="005B7AA1">
            <w:pPr>
              <w:jc w:val="center"/>
            </w:pPr>
            <w:r>
              <w:t>.812 (.480, 1.372)</w:t>
            </w:r>
          </w:p>
        </w:tc>
        <w:tc>
          <w:tcPr>
            <w:tcW w:w="2407" w:type="dxa"/>
            <w:vAlign w:val="center"/>
          </w:tcPr>
          <w:p w14:paraId="7E5CB486" w14:textId="77777777" w:rsidR="004D6345" w:rsidRPr="00E016A1" w:rsidRDefault="00E016A1" w:rsidP="005B7AA1">
            <w:pPr>
              <w:jc w:val="center"/>
              <w:rPr>
                <w:b/>
              </w:rPr>
            </w:pPr>
            <w:r w:rsidRPr="00E016A1">
              <w:rPr>
                <w:b/>
              </w:rPr>
              <w:t>.238 (.102, .558)</w:t>
            </w:r>
          </w:p>
        </w:tc>
      </w:tr>
      <w:tr w:rsidR="004D6345" w14:paraId="5FCC8094" w14:textId="77777777" w:rsidTr="005B7AA1">
        <w:tc>
          <w:tcPr>
            <w:tcW w:w="3530" w:type="dxa"/>
          </w:tcPr>
          <w:p w14:paraId="4F7CCE71" w14:textId="77777777" w:rsidR="004D6345" w:rsidRDefault="004D6345" w:rsidP="005B7AA1">
            <w:pPr>
              <w:spacing w:before="20" w:after="20"/>
              <w:rPr>
                <w:b/>
              </w:rPr>
            </w:pPr>
            <w:r>
              <w:rPr>
                <w:b/>
              </w:rPr>
              <w:t xml:space="preserve">     NP/PA</w:t>
            </w:r>
          </w:p>
        </w:tc>
        <w:tc>
          <w:tcPr>
            <w:tcW w:w="2407" w:type="dxa"/>
            <w:vAlign w:val="center"/>
          </w:tcPr>
          <w:p w14:paraId="0208A304" w14:textId="77777777" w:rsidR="004D6345" w:rsidRDefault="00A57372" w:rsidP="005B7AA1">
            <w:pPr>
              <w:jc w:val="center"/>
            </w:pPr>
            <w:r>
              <w:t>-</w:t>
            </w:r>
          </w:p>
        </w:tc>
        <w:tc>
          <w:tcPr>
            <w:tcW w:w="2407" w:type="dxa"/>
            <w:vAlign w:val="center"/>
          </w:tcPr>
          <w:p w14:paraId="20627B64" w14:textId="77777777" w:rsidR="004D6345" w:rsidRDefault="00A57372" w:rsidP="005B7AA1">
            <w:pPr>
              <w:jc w:val="center"/>
            </w:pPr>
            <w:r>
              <w:t>-</w:t>
            </w:r>
          </w:p>
        </w:tc>
        <w:tc>
          <w:tcPr>
            <w:tcW w:w="2407" w:type="dxa"/>
            <w:vAlign w:val="center"/>
          </w:tcPr>
          <w:p w14:paraId="7D2461E0" w14:textId="77777777" w:rsidR="004D6345" w:rsidRPr="006F64AF" w:rsidRDefault="006F64AF" w:rsidP="005B7AA1">
            <w:pPr>
              <w:jc w:val="center"/>
              <w:rPr>
                <w:b/>
              </w:rPr>
            </w:pPr>
            <w:r w:rsidRPr="006F64AF">
              <w:rPr>
                <w:b/>
              </w:rPr>
              <w:t>2.367 (1.417, 3.954)</w:t>
            </w:r>
          </w:p>
        </w:tc>
        <w:tc>
          <w:tcPr>
            <w:tcW w:w="2407" w:type="dxa"/>
            <w:vAlign w:val="center"/>
          </w:tcPr>
          <w:p w14:paraId="77CBC835" w14:textId="77777777" w:rsidR="004D6345" w:rsidRDefault="00E016A1" w:rsidP="005B7AA1">
            <w:pPr>
              <w:jc w:val="center"/>
            </w:pPr>
            <w:r>
              <w:t>1.291 (.664, 2.511)</w:t>
            </w:r>
          </w:p>
        </w:tc>
      </w:tr>
      <w:tr w:rsidR="004D6345" w14:paraId="62C3245F" w14:textId="77777777" w:rsidTr="005B7AA1">
        <w:trPr>
          <w:trHeight w:val="368"/>
        </w:trPr>
        <w:tc>
          <w:tcPr>
            <w:tcW w:w="3530" w:type="dxa"/>
          </w:tcPr>
          <w:p w14:paraId="436D9A30" w14:textId="77777777" w:rsidR="004D6345" w:rsidRPr="00B359EC" w:rsidRDefault="004D6345" w:rsidP="005B7AA1">
            <w:pPr>
              <w:spacing w:before="20" w:after="20"/>
              <w:rPr>
                <w:b/>
              </w:rPr>
            </w:pPr>
            <w:r w:rsidRPr="00B359EC">
              <w:rPr>
                <w:b/>
              </w:rPr>
              <w:t>Constant</w:t>
            </w:r>
          </w:p>
        </w:tc>
        <w:tc>
          <w:tcPr>
            <w:tcW w:w="2407" w:type="dxa"/>
            <w:vAlign w:val="center"/>
          </w:tcPr>
          <w:p w14:paraId="5EC0F6E8" w14:textId="77777777" w:rsidR="004D6345" w:rsidRDefault="006036CD" w:rsidP="005B7AA1">
            <w:pPr>
              <w:jc w:val="center"/>
            </w:pPr>
            <w:r>
              <w:t>1.205</w:t>
            </w:r>
          </w:p>
        </w:tc>
        <w:tc>
          <w:tcPr>
            <w:tcW w:w="2407" w:type="dxa"/>
            <w:vAlign w:val="center"/>
          </w:tcPr>
          <w:p w14:paraId="2BCD0976" w14:textId="77777777" w:rsidR="004D6345" w:rsidRPr="00D16FBC" w:rsidRDefault="00D16FBC" w:rsidP="005B7AA1">
            <w:pPr>
              <w:jc w:val="center"/>
              <w:rPr>
                <w:b/>
              </w:rPr>
            </w:pPr>
            <w:r w:rsidRPr="00D16FBC">
              <w:rPr>
                <w:b/>
              </w:rPr>
              <w:t>.056</w:t>
            </w:r>
          </w:p>
        </w:tc>
        <w:tc>
          <w:tcPr>
            <w:tcW w:w="2407" w:type="dxa"/>
            <w:vAlign w:val="center"/>
          </w:tcPr>
          <w:p w14:paraId="73F0ABE9" w14:textId="77777777" w:rsidR="004D6345" w:rsidRPr="006E14BD" w:rsidRDefault="006E14BD" w:rsidP="005B7AA1">
            <w:pPr>
              <w:jc w:val="center"/>
              <w:rPr>
                <w:b/>
              </w:rPr>
            </w:pPr>
            <w:r w:rsidRPr="006E14BD">
              <w:rPr>
                <w:b/>
              </w:rPr>
              <w:t>.190</w:t>
            </w:r>
          </w:p>
        </w:tc>
        <w:tc>
          <w:tcPr>
            <w:tcW w:w="2407" w:type="dxa"/>
            <w:vAlign w:val="center"/>
          </w:tcPr>
          <w:p w14:paraId="730004C0" w14:textId="77777777" w:rsidR="004D6345" w:rsidRPr="00E016A1" w:rsidRDefault="00E016A1" w:rsidP="005B7AA1">
            <w:pPr>
              <w:jc w:val="center"/>
              <w:rPr>
                <w:b/>
              </w:rPr>
            </w:pPr>
            <w:r w:rsidRPr="00E016A1">
              <w:rPr>
                <w:b/>
              </w:rPr>
              <w:t>.030</w:t>
            </w:r>
          </w:p>
        </w:tc>
      </w:tr>
      <w:tr w:rsidR="004D6345" w14:paraId="41AB11F1" w14:textId="77777777" w:rsidTr="005B7AA1">
        <w:trPr>
          <w:trHeight w:val="29"/>
        </w:trPr>
        <w:tc>
          <w:tcPr>
            <w:tcW w:w="3530" w:type="dxa"/>
            <w:vAlign w:val="center"/>
          </w:tcPr>
          <w:p w14:paraId="73573CA1" w14:textId="77777777" w:rsidR="004D6345" w:rsidRPr="00B359EC" w:rsidRDefault="004D6345" w:rsidP="005B7AA1">
            <w:pPr>
              <w:jc w:val="center"/>
              <w:rPr>
                <w:b/>
              </w:rPr>
            </w:pPr>
          </w:p>
        </w:tc>
        <w:tc>
          <w:tcPr>
            <w:tcW w:w="2407" w:type="dxa"/>
            <w:vAlign w:val="center"/>
          </w:tcPr>
          <w:p w14:paraId="74BDF0CF" w14:textId="77777777" w:rsidR="004D6345" w:rsidRDefault="004D6345" w:rsidP="005B7AA1">
            <w:pPr>
              <w:jc w:val="center"/>
            </w:pPr>
          </w:p>
        </w:tc>
        <w:tc>
          <w:tcPr>
            <w:tcW w:w="2407" w:type="dxa"/>
            <w:vAlign w:val="center"/>
          </w:tcPr>
          <w:p w14:paraId="35CC2D03" w14:textId="77777777" w:rsidR="004D6345" w:rsidRDefault="004D6345" w:rsidP="005B7AA1">
            <w:pPr>
              <w:jc w:val="center"/>
            </w:pPr>
          </w:p>
        </w:tc>
        <w:tc>
          <w:tcPr>
            <w:tcW w:w="2407" w:type="dxa"/>
            <w:vAlign w:val="center"/>
          </w:tcPr>
          <w:p w14:paraId="74E790A5" w14:textId="77777777" w:rsidR="004D6345" w:rsidRDefault="004D6345" w:rsidP="005B7AA1">
            <w:pPr>
              <w:jc w:val="center"/>
            </w:pPr>
          </w:p>
        </w:tc>
        <w:tc>
          <w:tcPr>
            <w:tcW w:w="2407" w:type="dxa"/>
            <w:vAlign w:val="center"/>
          </w:tcPr>
          <w:p w14:paraId="72A511DC" w14:textId="77777777" w:rsidR="004D6345" w:rsidRDefault="004D6345" w:rsidP="005B7AA1">
            <w:pPr>
              <w:jc w:val="center"/>
            </w:pPr>
          </w:p>
        </w:tc>
      </w:tr>
      <w:tr w:rsidR="004D6345" w14:paraId="20F9C3BD" w14:textId="77777777" w:rsidTr="005B7AA1">
        <w:tc>
          <w:tcPr>
            <w:tcW w:w="3530" w:type="dxa"/>
          </w:tcPr>
          <w:p w14:paraId="5ADC2F7A" w14:textId="77777777" w:rsidR="004D6345" w:rsidRPr="00B359EC" w:rsidRDefault="004D6345" w:rsidP="005B7AA1">
            <w:pPr>
              <w:spacing w:before="20" w:after="20"/>
              <w:rPr>
                <w:b/>
              </w:rPr>
            </w:pPr>
            <w:r w:rsidRPr="00B359EC">
              <w:rPr>
                <w:b/>
              </w:rPr>
              <w:t>N</w:t>
            </w:r>
          </w:p>
        </w:tc>
        <w:tc>
          <w:tcPr>
            <w:tcW w:w="2407" w:type="dxa"/>
            <w:vAlign w:val="center"/>
          </w:tcPr>
          <w:p w14:paraId="4C164EDC" w14:textId="77777777" w:rsidR="004D6345" w:rsidRDefault="00A57372" w:rsidP="005B7AA1">
            <w:pPr>
              <w:jc w:val="center"/>
            </w:pPr>
            <w:r>
              <w:t>982</w:t>
            </w:r>
          </w:p>
        </w:tc>
        <w:tc>
          <w:tcPr>
            <w:tcW w:w="2407" w:type="dxa"/>
            <w:vAlign w:val="center"/>
          </w:tcPr>
          <w:p w14:paraId="0EDC2B36" w14:textId="77777777" w:rsidR="004D6345" w:rsidRDefault="00D16FBC" w:rsidP="005B7AA1">
            <w:pPr>
              <w:jc w:val="center"/>
            </w:pPr>
            <w:r>
              <w:t>1238</w:t>
            </w:r>
          </w:p>
        </w:tc>
        <w:tc>
          <w:tcPr>
            <w:tcW w:w="2407" w:type="dxa"/>
            <w:vAlign w:val="center"/>
          </w:tcPr>
          <w:p w14:paraId="2F726F90" w14:textId="77777777" w:rsidR="004D6345" w:rsidRDefault="006E14BD" w:rsidP="005B7AA1">
            <w:pPr>
              <w:jc w:val="center"/>
            </w:pPr>
            <w:r>
              <w:t>1748</w:t>
            </w:r>
          </w:p>
        </w:tc>
        <w:tc>
          <w:tcPr>
            <w:tcW w:w="2407" w:type="dxa"/>
            <w:vAlign w:val="center"/>
          </w:tcPr>
          <w:p w14:paraId="542EC2F3" w14:textId="77777777" w:rsidR="004D6345" w:rsidRDefault="00E016A1" w:rsidP="005B7AA1">
            <w:pPr>
              <w:jc w:val="center"/>
            </w:pPr>
            <w:r>
              <w:t>2533</w:t>
            </w:r>
          </w:p>
        </w:tc>
      </w:tr>
      <w:tr w:rsidR="004D6345" w14:paraId="0B5944C3" w14:textId="77777777" w:rsidTr="005B7AA1">
        <w:tc>
          <w:tcPr>
            <w:tcW w:w="3530" w:type="dxa"/>
          </w:tcPr>
          <w:p w14:paraId="28D6ECDF" w14:textId="77777777" w:rsidR="004D6345" w:rsidRPr="00B359EC" w:rsidRDefault="004D6345" w:rsidP="005B7AA1">
            <w:pPr>
              <w:spacing w:before="20" w:after="20"/>
              <w:rPr>
                <w:b/>
              </w:rPr>
            </w:pPr>
            <w:proofErr w:type="spellStart"/>
            <w:r w:rsidRPr="00B359EC">
              <w:rPr>
                <w:b/>
              </w:rPr>
              <w:t>Nagelkerke</w:t>
            </w:r>
            <w:proofErr w:type="spellEnd"/>
            <w:r w:rsidRPr="00B359EC">
              <w:rPr>
                <w:b/>
              </w:rPr>
              <w:t xml:space="preserve"> R</w:t>
            </w:r>
            <w:r w:rsidRPr="00B359EC">
              <w:rPr>
                <w:b/>
                <w:vertAlign w:val="superscript"/>
              </w:rPr>
              <w:t>2</w:t>
            </w:r>
          </w:p>
        </w:tc>
        <w:tc>
          <w:tcPr>
            <w:tcW w:w="2407" w:type="dxa"/>
            <w:vAlign w:val="center"/>
          </w:tcPr>
          <w:p w14:paraId="5849FE3A" w14:textId="77777777" w:rsidR="004D6345" w:rsidRDefault="00A57372" w:rsidP="005B7AA1">
            <w:pPr>
              <w:jc w:val="center"/>
            </w:pPr>
            <w:r>
              <w:t>.329</w:t>
            </w:r>
          </w:p>
        </w:tc>
        <w:tc>
          <w:tcPr>
            <w:tcW w:w="2407" w:type="dxa"/>
            <w:vAlign w:val="center"/>
          </w:tcPr>
          <w:p w14:paraId="29AAE165" w14:textId="77777777" w:rsidR="004D6345" w:rsidRDefault="00D16FBC" w:rsidP="005B7AA1">
            <w:pPr>
              <w:jc w:val="center"/>
            </w:pPr>
            <w:r>
              <w:t>.226</w:t>
            </w:r>
          </w:p>
        </w:tc>
        <w:tc>
          <w:tcPr>
            <w:tcW w:w="2407" w:type="dxa"/>
            <w:vAlign w:val="center"/>
          </w:tcPr>
          <w:p w14:paraId="1B95AFDE" w14:textId="77777777" w:rsidR="004D6345" w:rsidRDefault="006E14BD" w:rsidP="005B7AA1">
            <w:pPr>
              <w:jc w:val="center"/>
            </w:pPr>
            <w:r>
              <w:t>.264</w:t>
            </w:r>
          </w:p>
        </w:tc>
        <w:tc>
          <w:tcPr>
            <w:tcW w:w="2407" w:type="dxa"/>
            <w:vAlign w:val="center"/>
          </w:tcPr>
          <w:p w14:paraId="588898C3" w14:textId="77777777" w:rsidR="004D6345" w:rsidRDefault="00E016A1" w:rsidP="005B7AA1">
            <w:pPr>
              <w:jc w:val="center"/>
            </w:pPr>
            <w:r>
              <w:t>.256</w:t>
            </w:r>
          </w:p>
        </w:tc>
      </w:tr>
      <w:tr w:rsidR="004D6345" w14:paraId="53D01E71" w14:textId="77777777" w:rsidTr="005B7AA1">
        <w:tc>
          <w:tcPr>
            <w:tcW w:w="3530" w:type="dxa"/>
          </w:tcPr>
          <w:p w14:paraId="7AAFB119" w14:textId="77777777" w:rsidR="004D6345" w:rsidRPr="00B359EC" w:rsidRDefault="004D6345" w:rsidP="005B7AA1">
            <w:pPr>
              <w:spacing w:before="20" w:after="20"/>
              <w:rPr>
                <w:b/>
              </w:rPr>
            </w:pPr>
            <w:r>
              <w:rPr>
                <w:b/>
              </w:rPr>
              <w:t xml:space="preserve">Hosmer and </w:t>
            </w:r>
            <w:proofErr w:type="spellStart"/>
            <w:r>
              <w:rPr>
                <w:b/>
              </w:rPr>
              <w:t>Lemeshow</w:t>
            </w:r>
            <w:proofErr w:type="spellEnd"/>
            <w:r>
              <w:rPr>
                <w:b/>
              </w:rPr>
              <w:t xml:space="preserve"> Test</w:t>
            </w:r>
          </w:p>
        </w:tc>
        <w:tc>
          <w:tcPr>
            <w:tcW w:w="2407" w:type="dxa"/>
            <w:vAlign w:val="center"/>
          </w:tcPr>
          <w:p w14:paraId="4129F821" w14:textId="77777777" w:rsidR="004D6345" w:rsidRDefault="00A57372" w:rsidP="005B7AA1">
            <w:pPr>
              <w:jc w:val="center"/>
            </w:pPr>
            <w:r>
              <w:t>.185</w:t>
            </w:r>
          </w:p>
        </w:tc>
        <w:tc>
          <w:tcPr>
            <w:tcW w:w="2407" w:type="dxa"/>
            <w:vAlign w:val="center"/>
          </w:tcPr>
          <w:p w14:paraId="0220E122" w14:textId="77777777" w:rsidR="004D6345" w:rsidRDefault="00D16FBC" w:rsidP="005B7AA1">
            <w:pPr>
              <w:jc w:val="center"/>
            </w:pPr>
            <w:r>
              <w:t>.777</w:t>
            </w:r>
          </w:p>
        </w:tc>
        <w:tc>
          <w:tcPr>
            <w:tcW w:w="2407" w:type="dxa"/>
            <w:vAlign w:val="center"/>
          </w:tcPr>
          <w:p w14:paraId="42699258" w14:textId="77777777" w:rsidR="004D6345" w:rsidRDefault="006E14BD" w:rsidP="005B7AA1">
            <w:pPr>
              <w:jc w:val="center"/>
            </w:pPr>
            <w:r>
              <w:t>.087</w:t>
            </w:r>
          </w:p>
        </w:tc>
        <w:tc>
          <w:tcPr>
            <w:tcW w:w="2407" w:type="dxa"/>
            <w:vAlign w:val="center"/>
          </w:tcPr>
          <w:p w14:paraId="67200E43" w14:textId="77777777" w:rsidR="004D6345" w:rsidRDefault="00E016A1" w:rsidP="005B7AA1">
            <w:pPr>
              <w:jc w:val="center"/>
            </w:pPr>
            <w:r>
              <w:t>.725</w:t>
            </w:r>
          </w:p>
        </w:tc>
      </w:tr>
    </w:tbl>
    <w:p w14:paraId="722CC9C9" w14:textId="77777777" w:rsidR="004D6345" w:rsidRDefault="004D6345" w:rsidP="004D6345">
      <w:pPr>
        <w:spacing w:before="120" w:after="0"/>
        <w:ind w:left="720" w:hanging="720"/>
      </w:pPr>
      <w:r>
        <w:t xml:space="preserve">Notes: </w:t>
      </w:r>
      <w:r>
        <w:tab/>
        <w:t>1. The pool of prescribers who are potential adopters of the 100-patient waiver is all prescribers waivered for 30 patients in the year prior to the column year. Independent variables are for the year prior to the column year.</w:t>
      </w:r>
    </w:p>
    <w:p w14:paraId="3B462413" w14:textId="77777777" w:rsidR="004D6345" w:rsidRDefault="004D6345" w:rsidP="004D6345">
      <w:pPr>
        <w:spacing w:after="0"/>
        <w:ind w:left="720"/>
      </w:pPr>
      <w:r>
        <w:t>2. The regressions control for county variations in prescriber location via a dichotomous variable for each county (results not shown).</w:t>
      </w:r>
    </w:p>
    <w:p w14:paraId="0CE2B0B7" w14:textId="77777777" w:rsidR="004D6345" w:rsidRDefault="004D6345" w:rsidP="004D6345">
      <w:pPr>
        <w:spacing w:after="0"/>
        <w:ind w:left="720"/>
      </w:pPr>
      <w:r>
        <w:t xml:space="preserve">3. Odds ratios significant at the .05 level are shown in </w:t>
      </w:r>
      <w:r w:rsidRPr="008D099F">
        <w:rPr>
          <w:b/>
        </w:rPr>
        <w:t>bold</w:t>
      </w:r>
      <w:r>
        <w:t>.</w:t>
      </w:r>
    </w:p>
    <w:p w14:paraId="6FA21EB7" w14:textId="77777777" w:rsidR="004D6345" w:rsidRDefault="004D6345" w:rsidP="004D6345">
      <w:pPr>
        <w:spacing w:after="0"/>
        <w:ind w:left="720"/>
      </w:pPr>
      <w:r>
        <w:t>4. Medicaid data were not available prior to 2016.</w:t>
      </w:r>
    </w:p>
    <w:p w14:paraId="39814233" w14:textId="77777777" w:rsidR="004D6345" w:rsidRDefault="004D6345" w:rsidP="004D6345">
      <w:pPr>
        <w:spacing w:after="0"/>
        <w:ind w:left="720"/>
      </w:pPr>
      <w:r>
        <w:t>5. The reference category is specialty missing.</w:t>
      </w:r>
    </w:p>
    <w:p w14:paraId="2ED571C6" w14:textId="77777777" w:rsidR="004D6345" w:rsidRDefault="004D6345" w:rsidP="004D6345">
      <w:pPr>
        <w:pStyle w:val="ListParagraph"/>
        <w:ind w:left="0"/>
      </w:pPr>
    </w:p>
    <w:p w14:paraId="4D7A8B33" w14:textId="77777777" w:rsidR="00E91F5F" w:rsidRDefault="00E91F5F" w:rsidP="00E91F5F">
      <w:pPr>
        <w:tabs>
          <w:tab w:val="left" w:pos="900"/>
        </w:tabs>
      </w:pPr>
    </w:p>
    <w:p w14:paraId="713B0E4C" w14:textId="77777777" w:rsidR="006A2D67" w:rsidRDefault="006A2D67" w:rsidP="00E91F5F">
      <w:pPr>
        <w:tabs>
          <w:tab w:val="left" w:pos="900"/>
        </w:tabs>
        <w:sectPr w:rsidR="006A2D67" w:rsidSect="004D6345">
          <w:pgSz w:w="15840" w:h="12240" w:orient="landscape"/>
          <w:pgMar w:top="1440" w:right="1440" w:bottom="1440" w:left="1440" w:header="720" w:footer="720" w:gutter="0"/>
          <w:cols w:space="720"/>
          <w:docGrid w:linePitch="360"/>
        </w:sectPr>
      </w:pPr>
    </w:p>
    <w:p w14:paraId="01A07399" w14:textId="77777777" w:rsidR="00E91F5F" w:rsidRDefault="00E91F5F" w:rsidP="00E91F5F">
      <w:pPr>
        <w:pStyle w:val="ListParagraph"/>
        <w:numPr>
          <w:ilvl w:val="0"/>
          <w:numId w:val="7"/>
        </w:numPr>
        <w:tabs>
          <w:tab w:val="left" w:pos="900"/>
        </w:tabs>
        <w:rPr>
          <w:b/>
        </w:rPr>
      </w:pPr>
      <w:r w:rsidRPr="00E91F5F">
        <w:rPr>
          <w:b/>
        </w:rPr>
        <w:lastRenderedPageBreak/>
        <w:t>Becoming waivered for 275 patients</w:t>
      </w:r>
    </w:p>
    <w:p w14:paraId="037F5CF9" w14:textId="77777777" w:rsidR="001E3EF7" w:rsidRDefault="001E3EF7" w:rsidP="001E3EF7">
      <w:pPr>
        <w:spacing w:after="0"/>
      </w:pPr>
      <w:r>
        <w:t xml:space="preserve">Diffusion theory predicts that the first adopters of an innovation are those motivated primarily by their own perceived benefit from or need for the innovation. This theory also predicts that first adopters will tend to be outliers in a communication network (i.e., those having fewest ties). We hypothesized that the first adopters of becoming 275-waivered would be those 100-waivered prescribers with the highest numbers of active MOUD patients, and with relatively few shared-patient ties. </w:t>
      </w:r>
    </w:p>
    <w:p w14:paraId="481E6C43" w14:textId="77777777" w:rsidR="001E3EF7" w:rsidRDefault="001E3EF7" w:rsidP="001E3EF7">
      <w:pPr>
        <w:spacing w:after="0"/>
      </w:pPr>
    </w:p>
    <w:p w14:paraId="522C2754" w14:textId="77777777" w:rsidR="001E3EF7" w:rsidRDefault="001E3EF7" w:rsidP="000B6223">
      <w:r>
        <w:t>Diffusion theory further predicts that, once the innovation starts to become more widely adopted, “opinion leaders” – those more central to communication networks (i.e., having more shared-patient ties</w:t>
      </w:r>
      <w:r w:rsidR="00F37459">
        <w:rPr>
          <w:rStyle w:val="FootnoteReference"/>
        </w:rPr>
        <w:footnoteReference w:id="37"/>
      </w:r>
      <w:r>
        <w:t>) – will be the primary adopters.</w:t>
      </w:r>
      <w:r w:rsidR="00F37459">
        <w:rPr>
          <w:rStyle w:val="FootnoteReference"/>
        </w:rPr>
        <w:footnoteReference w:id="38"/>
      </w:r>
      <w:r>
        <w:t xml:space="preserve"> They will be motivated by having learned from their peers about the benefits of the innovation and will </w:t>
      </w:r>
      <w:r w:rsidR="007C1C5B">
        <w:t>seek these benefits for themselves by</w:t>
      </w:r>
      <w:r>
        <w:t xml:space="preserve"> adopting the innovation. We hypothesize that, after the first couple of years of adoption of becoming 275-waivered, prescribers becoming 275-waivered will tend to be more central to the shared-patient networks, and that numbers of active MOUD patients will become less important as a motivator.</w:t>
      </w:r>
      <w:r w:rsidR="009C1F70">
        <w:t xml:space="preserve"> We separately analyzed the effects of numbers of ties to previous adopters of the 275-patient waiver. In typical, S-shaped diffusion processes, these </w:t>
      </w:r>
      <w:r w:rsidR="007C1C5B">
        <w:t xml:space="preserve">latter </w:t>
      </w:r>
      <w:r w:rsidR="009C1F70">
        <w:t>ties would predict adoption</w:t>
      </w:r>
      <w:r w:rsidR="00C243E6">
        <w:t>. However, because the diffusion of the 275-patient waiver appears to be more externally driven, we hypothesized that the overall number of ties to waivered prescribers (i.e., a prescriber’s centrality in the statewide network) would predict adoption of the 275-patient waiver, while the number of ties specifically to previous 275-patient adopters would not.</w:t>
      </w:r>
    </w:p>
    <w:p w14:paraId="02EDAC11" w14:textId="77777777" w:rsidR="000B6223" w:rsidRPr="000B6223" w:rsidRDefault="000B6223" w:rsidP="000B6223">
      <w:pPr>
        <w:rPr>
          <w:b/>
        </w:rPr>
      </w:pPr>
      <w:r w:rsidRPr="000B6223">
        <w:rPr>
          <w:b/>
        </w:rPr>
        <w:t>Methods</w:t>
      </w:r>
    </w:p>
    <w:p w14:paraId="72EEC6E3" w14:textId="77777777" w:rsidR="00F660F9" w:rsidRDefault="000B6223" w:rsidP="00F660F9">
      <w:r>
        <w:t>As with the analysis of prescribers adopting the waiver for 100 patients above, we conducted separate logistic regressions of becoming waivered for 275 patients for each year 2016 – 2019</w:t>
      </w:r>
      <w:r w:rsidR="00F660F9">
        <w:t>, because the pool of potential adopters changed each year</w:t>
      </w:r>
      <w:r>
        <w:t xml:space="preserve">. </w:t>
      </w:r>
      <w:r w:rsidR="00F660F9">
        <w:t>The models included the same set of variables as in the prior models: median number of monthly active MOUD patients, degree – number of shared-patient ties, percent of patients who paid for at least one buprenorphine prescription with Medicaid (data only available in 2016 and later), number of years the prescriber was waivered for 100 patients, and medical specialty (broadly categorized as physician – general, physician – psychiatry and neurology, physician – other, and physician – specialty missing. Beginning in 2017, when nurse practitioners and physician assistants were allowed to obtain a waiver, we added a category for NP/PA.) Each regression controlled for county differences in prescriber location by means of a dichotomous variable for each county (county control results not shown in the tables below).</w:t>
      </w:r>
      <w:r w:rsidR="00C243E6">
        <w:t xml:space="preserve"> As noted above, we also ran a set of logistic regressions replacing total number of shared-patient ties with ties to previous adopters of the 275-patient waiver only.</w:t>
      </w:r>
    </w:p>
    <w:p w14:paraId="4D50F3F1" w14:textId="77777777" w:rsidR="00F37459" w:rsidRDefault="00F617FC" w:rsidP="00F660F9">
      <w:r>
        <w:lastRenderedPageBreak/>
        <w:t xml:space="preserve">The logistic regressions presented below have one important difference from those used for the 100-patient waiver analyses. For the 100-patient waiver analyses, we included all Massachusetts prescribers waivered for 30 patients through the previous year, whether or not they had any MOUD patients in that year. We found that a large proportion of prescribers who adopted the 100-patient waiver had no patients in the prior year, the percentage ranging from </w:t>
      </w:r>
      <w:r w:rsidR="00125316">
        <w:t>44% to 73%. In contrast, no prescribers waivered for 100 patients, who had no patients in the prior year, adopted the 275-patient waiver in a given year. For this reason, to avoid biasing our results toward a positive association between prescriber degree and adoption of the 275-patient waiver (since both variables would have the value 0 for prescribers with no patients), we limited the pool of potential adopters to those 100-patient waivered prescribers who had at least one patient in the prior year.</w:t>
      </w:r>
      <w:r w:rsidR="00125316">
        <w:rPr>
          <w:rStyle w:val="FootnoteReference"/>
        </w:rPr>
        <w:footnoteReference w:id="39"/>
      </w:r>
    </w:p>
    <w:p w14:paraId="35AB50AC" w14:textId="77777777" w:rsidR="001E3EF7" w:rsidRPr="00F660F9" w:rsidRDefault="00F660F9" w:rsidP="00F660F9">
      <w:pPr>
        <w:rPr>
          <w:b/>
        </w:rPr>
      </w:pPr>
      <w:r w:rsidRPr="00F660F9">
        <w:rPr>
          <w:b/>
        </w:rPr>
        <w:t>Results</w:t>
      </w:r>
    </w:p>
    <w:p w14:paraId="0842B473" w14:textId="77777777" w:rsidR="00EF6FBE" w:rsidRDefault="000560C9" w:rsidP="00EF6FBE">
      <w:r>
        <w:t>In Table IV.</w:t>
      </w:r>
      <w:r w:rsidR="00BE1391">
        <w:t>3</w:t>
      </w:r>
      <w:r>
        <w:t xml:space="preserve"> we display the means and standard variations for the variables used in the analyses of adoption of the 275-patient waiver. We note a steady decrease in the percent of 100-patient waivered prescribers (with at least one MOUD patient in the prior year) who adopted the 275-patient waiver from 2016 through 2019, and a similarly steady decrease in their average median numbers of patients. In contrast, the average number of shared-patient ties with other waivered prescribers increased across these years, as did the average number of ties specifically with previous 275-patient waiver adopters.</w:t>
      </w:r>
    </w:p>
    <w:p w14:paraId="02114AB7" w14:textId="77777777" w:rsidR="00F660F9" w:rsidRDefault="00EF6FBE" w:rsidP="00EF6FBE">
      <w:r>
        <w:t>As hypothesized, the number of shared-patient ties was a negative predictor of adoption of the 275-patient waiver in 2016, then became a positive predictor of adoption in 2018 and 2019 (Table IV.</w:t>
      </w:r>
      <w:r w:rsidR="00BE1391">
        <w:t>4</w:t>
      </w:r>
      <w:r>
        <w:t>a). That is, prescribers near the edges of the statewide shared-patient network were significant early adopters; by 2018, prescribers more central to this network were significant adopters. The median number of MOUD patients was also a significant predictor of adoption for 2016 – 2018, and the years a prescriber had been waivered for 100 patients was a significant negative predictor of adoption. That is, prescribers waivered for 100 patients for fewer years tended to be more likely to adopt the 275-patient waiver than prescribers 100-patient waivered for longer periods.</w:t>
      </w:r>
    </w:p>
    <w:p w14:paraId="6C6C0507" w14:textId="77777777" w:rsidR="00EF6FBE" w:rsidRDefault="00EF6FBE" w:rsidP="00EF6FBE">
      <w:r>
        <w:t>Further, we found in analyses of ties to previous adopters of the 275-patient waiver that this variable was not a significant predictor of the 275-patient waiver (Table IV.</w:t>
      </w:r>
      <w:r w:rsidR="00BE1391">
        <w:t>4</w:t>
      </w:r>
      <w:r>
        <w:t>b). This finding is in line with the relatively externally-driven shape of the 275-patient waiver diffusion curve noted above. In both sets of analyses (Tables IV.</w:t>
      </w:r>
      <w:r w:rsidR="00BE1391">
        <w:t>4</w:t>
      </w:r>
      <w:r>
        <w:t>a and IV.</w:t>
      </w:r>
      <w:r w:rsidR="00BE1391">
        <w:t>4</w:t>
      </w:r>
      <w:r>
        <w:t xml:space="preserve">b), none of the provider specialty variables </w:t>
      </w:r>
      <w:r w:rsidR="005B5D74">
        <w:t>wa</w:t>
      </w:r>
      <w:r>
        <w:t>s a significant predictor.</w:t>
      </w:r>
    </w:p>
    <w:p w14:paraId="0709C061" w14:textId="77777777" w:rsidR="00EF6FBE" w:rsidRPr="003D59A2" w:rsidRDefault="00BE1391" w:rsidP="001E3EF7">
      <w:pPr>
        <w:spacing w:after="0"/>
      </w:pPr>
      <w:r>
        <w:t>In Figure IV.4, we display the proportion of (100-patient waivered) prescribers who adopted the 275-patient waiver in 2019, for</w:t>
      </w:r>
      <w:r w:rsidR="00B07412">
        <w:t xml:space="preserve"> the different numbers of shared-patient ties they had in 2018, ranging from 0 to 8 plus (for ease of display, we capped degrees greater than 8 as 8). As shown in the figure, the association between number of ties and percent who adopted the 275-patient waiver </w:t>
      </w:r>
      <w:r w:rsidR="005B5D74">
        <w:t>is</w:t>
      </w:r>
      <w:r w:rsidR="00B07412">
        <w:t xml:space="preserve"> nearly monotonic, ranging from 4.7% for prescribers with 0 ties to 28.6% for prescribers with 8 or more ties.</w:t>
      </w:r>
    </w:p>
    <w:p w14:paraId="1C2603C3" w14:textId="77777777" w:rsidR="00E91F5F" w:rsidRDefault="00E91F5F" w:rsidP="00E91F5F">
      <w:pPr>
        <w:tabs>
          <w:tab w:val="left" w:pos="900"/>
        </w:tabs>
      </w:pPr>
    </w:p>
    <w:p w14:paraId="796AFDFE" w14:textId="77777777" w:rsidR="007B01B0" w:rsidRDefault="007B01B0" w:rsidP="00E91F5F">
      <w:pPr>
        <w:tabs>
          <w:tab w:val="left" w:pos="900"/>
        </w:tabs>
        <w:sectPr w:rsidR="007B01B0" w:rsidSect="006A2D67">
          <w:pgSz w:w="12240" w:h="15840"/>
          <w:pgMar w:top="1440" w:right="1440" w:bottom="1440" w:left="1440" w:header="720" w:footer="720" w:gutter="0"/>
          <w:cols w:space="720"/>
          <w:docGrid w:linePitch="360"/>
        </w:sectPr>
      </w:pPr>
    </w:p>
    <w:p w14:paraId="189EF548" w14:textId="77777777" w:rsidR="00E91F5F" w:rsidRDefault="00E91F5F" w:rsidP="00E91F5F">
      <w:pPr>
        <w:spacing w:after="0"/>
        <w:rPr>
          <w:b/>
        </w:rPr>
      </w:pPr>
      <w:r>
        <w:rPr>
          <w:b/>
        </w:rPr>
        <w:lastRenderedPageBreak/>
        <w:t xml:space="preserve">Table </w:t>
      </w:r>
      <w:r w:rsidR="008C2357">
        <w:rPr>
          <w:b/>
        </w:rPr>
        <w:t>IV.</w:t>
      </w:r>
      <w:r w:rsidR="00BE1391">
        <w:rPr>
          <w:b/>
        </w:rPr>
        <w:t>3</w:t>
      </w:r>
      <w:r>
        <w:rPr>
          <w:b/>
        </w:rPr>
        <w:t>: Variable Means and Standard Deviations for each Year</w:t>
      </w:r>
    </w:p>
    <w:p w14:paraId="25349650" w14:textId="77777777" w:rsidR="00E91F5F" w:rsidRDefault="00E91F5F" w:rsidP="00E91F5F">
      <w:pPr>
        <w:spacing w:after="0"/>
        <w:rPr>
          <w:b/>
        </w:rPr>
      </w:pPr>
      <w:r>
        <w:rPr>
          <w:b/>
        </w:rPr>
        <w:tab/>
      </w:r>
      <w:r>
        <w:rPr>
          <w:b/>
        </w:rPr>
        <w:tab/>
      </w:r>
      <w:r>
        <w:rPr>
          <w:b/>
        </w:rPr>
        <w:tab/>
      </w:r>
      <w:r>
        <w:rPr>
          <w:b/>
        </w:rPr>
        <w:tab/>
      </w:r>
      <w:r>
        <w:rPr>
          <w:b/>
        </w:rPr>
        <w:tab/>
      </w:r>
      <w:r>
        <w:rPr>
          <w:b/>
        </w:rPr>
        <w:tab/>
      </w:r>
      <w:r>
        <w:rPr>
          <w:b/>
        </w:rPr>
        <w:tab/>
      </w:r>
      <w:r>
        <w:rPr>
          <w:b/>
        </w:rPr>
        <w:tab/>
      </w:r>
      <w:r>
        <w:rPr>
          <w:b/>
        </w:rPr>
        <w:tab/>
        <w:t xml:space="preserve">      2016</w:t>
      </w:r>
      <w:r>
        <w:rPr>
          <w:b/>
        </w:rPr>
        <w:tab/>
        <w:t xml:space="preserve">            2017</w:t>
      </w:r>
      <w:r>
        <w:rPr>
          <w:b/>
        </w:rPr>
        <w:tab/>
        <w:t xml:space="preserve">                  2018</w:t>
      </w:r>
      <w:r>
        <w:rPr>
          <w:b/>
        </w:rPr>
        <w:tab/>
      </w:r>
      <w:r>
        <w:rPr>
          <w:b/>
        </w:rPr>
        <w:tab/>
        <w:t xml:space="preserve">         2019</w:t>
      </w:r>
    </w:p>
    <w:tbl>
      <w:tblPr>
        <w:tblStyle w:val="TableGrid"/>
        <w:tblW w:w="0" w:type="auto"/>
        <w:jc w:val="right"/>
        <w:tblLook w:val="04A0" w:firstRow="1" w:lastRow="0" w:firstColumn="1" w:lastColumn="0" w:noHBand="0" w:noVBand="1"/>
      </w:tblPr>
      <w:tblGrid>
        <w:gridCol w:w="6156"/>
        <w:gridCol w:w="864"/>
        <w:gridCol w:w="864"/>
        <w:gridCol w:w="864"/>
        <w:gridCol w:w="864"/>
        <w:gridCol w:w="864"/>
        <w:gridCol w:w="864"/>
        <w:gridCol w:w="864"/>
        <w:gridCol w:w="864"/>
      </w:tblGrid>
      <w:tr w:rsidR="00E91F5F" w14:paraId="20008C26" w14:textId="77777777" w:rsidTr="00DA062A">
        <w:trPr>
          <w:jc w:val="right"/>
        </w:trPr>
        <w:tc>
          <w:tcPr>
            <w:tcW w:w="6156" w:type="dxa"/>
          </w:tcPr>
          <w:p w14:paraId="6D7735A7" w14:textId="77777777" w:rsidR="00E91F5F" w:rsidRDefault="00E91F5F" w:rsidP="00DA062A">
            <w:pPr>
              <w:rPr>
                <w:b/>
              </w:rPr>
            </w:pPr>
          </w:p>
        </w:tc>
        <w:tc>
          <w:tcPr>
            <w:tcW w:w="864" w:type="dxa"/>
          </w:tcPr>
          <w:p w14:paraId="11524986" w14:textId="77777777" w:rsidR="00E91F5F" w:rsidRDefault="00E91F5F" w:rsidP="00DA062A">
            <w:pPr>
              <w:jc w:val="center"/>
              <w:rPr>
                <w:b/>
              </w:rPr>
            </w:pPr>
            <w:r>
              <w:rPr>
                <w:b/>
              </w:rPr>
              <w:t>Mean</w:t>
            </w:r>
          </w:p>
        </w:tc>
        <w:tc>
          <w:tcPr>
            <w:tcW w:w="864" w:type="dxa"/>
          </w:tcPr>
          <w:p w14:paraId="1CDB44EA" w14:textId="77777777" w:rsidR="00E91F5F" w:rsidRDefault="00E91F5F" w:rsidP="00DA062A">
            <w:pPr>
              <w:jc w:val="center"/>
              <w:rPr>
                <w:b/>
              </w:rPr>
            </w:pPr>
            <w:r>
              <w:rPr>
                <w:b/>
              </w:rPr>
              <w:t>SD</w:t>
            </w:r>
          </w:p>
        </w:tc>
        <w:tc>
          <w:tcPr>
            <w:tcW w:w="864" w:type="dxa"/>
          </w:tcPr>
          <w:p w14:paraId="22EF976E" w14:textId="77777777" w:rsidR="00E91F5F" w:rsidRDefault="00E91F5F" w:rsidP="00DA062A">
            <w:pPr>
              <w:jc w:val="center"/>
              <w:rPr>
                <w:b/>
              </w:rPr>
            </w:pPr>
            <w:r>
              <w:rPr>
                <w:b/>
              </w:rPr>
              <w:t>Mean</w:t>
            </w:r>
          </w:p>
        </w:tc>
        <w:tc>
          <w:tcPr>
            <w:tcW w:w="864" w:type="dxa"/>
          </w:tcPr>
          <w:p w14:paraId="5C91294E" w14:textId="77777777" w:rsidR="00E91F5F" w:rsidRDefault="00E91F5F" w:rsidP="00DA062A">
            <w:pPr>
              <w:jc w:val="center"/>
              <w:rPr>
                <w:b/>
              </w:rPr>
            </w:pPr>
            <w:r>
              <w:rPr>
                <w:b/>
              </w:rPr>
              <w:t>SD</w:t>
            </w:r>
          </w:p>
        </w:tc>
        <w:tc>
          <w:tcPr>
            <w:tcW w:w="864" w:type="dxa"/>
          </w:tcPr>
          <w:p w14:paraId="47EA8714" w14:textId="77777777" w:rsidR="00E91F5F" w:rsidRDefault="00E91F5F" w:rsidP="00DA062A">
            <w:pPr>
              <w:jc w:val="center"/>
              <w:rPr>
                <w:b/>
              </w:rPr>
            </w:pPr>
            <w:r>
              <w:rPr>
                <w:b/>
              </w:rPr>
              <w:t>Mean</w:t>
            </w:r>
          </w:p>
        </w:tc>
        <w:tc>
          <w:tcPr>
            <w:tcW w:w="864" w:type="dxa"/>
          </w:tcPr>
          <w:p w14:paraId="0B4CD9C5" w14:textId="77777777" w:rsidR="00E91F5F" w:rsidRDefault="00E91F5F" w:rsidP="00DA062A">
            <w:pPr>
              <w:jc w:val="center"/>
              <w:rPr>
                <w:b/>
              </w:rPr>
            </w:pPr>
            <w:r>
              <w:rPr>
                <w:b/>
              </w:rPr>
              <w:t>SD</w:t>
            </w:r>
          </w:p>
        </w:tc>
        <w:tc>
          <w:tcPr>
            <w:tcW w:w="864" w:type="dxa"/>
          </w:tcPr>
          <w:p w14:paraId="1E4B0354" w14:textId="77777777" w:rsidR="00E91F5F" w:rsidRDefault="00E91F5F" w:rsidP="00DA062A">
            <w:pPr>
              <w:jc w:val="center"/>
              <w:rPr>
                <w:b/>
              </w:rPr>
            </w:pPr>
            <w:r>
              <w:rPr>
                <w:b/>
              </w:rPr>
              <w:t>Mean</w:t>
            </w:r>
          </w:p>
        </w:tc>
        <w:tc>
          <w:tcPr>
            <w:tcW w:w="864" w:type="dxa"/>
          </w:tcPr>
          <w:p w14:paraId="3ECB8029" w14:textId="77777777" w:rsidR="00E91F5F" w:rsidRDefault="00E91F5F" w:rsidP="00DA062A">
            <w:pPr>
              <w:jc w:val="center"/>
              <w:rPr>
                <w:b/>
              </w:rPr>
            </w:pPr>
            <w:r>
              <w:rPr>
                <w:b/>
              </w:rPr>
              <w:t>SD</w:t>
            </w:r>
          </w:p>
        </w:tc>
      </w:tr>
      <w:tr w:rsidR="00E91F5F" w14:paraId="191B331A" w14:textId="77777777" w:rsidTr="00DA062A">
        <w:trPr>
          <w:jc w:val="right"/>
        </w:trPr>
        <w:tc>
          <w:tcPr>
            <w:tcW w:w="6156" w:type="dxa"/>
          </w:tcPr>
          <w:p w14:paraId="500D4CD2" w14:textId="77777777" w:rsidR="00E91F5F" w:rsidRDefault="00E91F5F" w:rsidP="00DA062A">
            <w:pPr>
              <w:rPr>
                <w:b/>
              </w:rPr>
            </w:pPr>
            <w:r>
              <w:rPr>
                <w:b/>
              </w:rPr>
              <w:t>Percent who adopted 275-patient waiver</w:t>
            </w:r>
            <w:r w:rsidRPr="00E91F5F">
              <w:rPr>
                <w:vertAlign w:val="superscript"/>
              </w:rPr>
              <w:t>1</w:t>
            </w:r>
          </w:p>
        </w:tc>
        <w:tc>
          <w:tcPr>
            <w:tcW w:w="864" w:type="dxa"/>
            <w:vAlign w:val="center"/>
          </w:tcPr>
          <w:p w14:paraId="2948E4EA" w14:textId="77777777" w:rsidR="00E91F5F" w:rsidRPr="00670A31" w:rsidRDefault="00E91F5F" w:rsidP="00DA062A">
            <w:pPr>
              <w:jc w:val="center"/>
            </w:pPr>
            <w:r w:rsidRPr="00670A31">
              <w:t>.26</w:t>
            </w:r>
          </w:p>
        </w:tc>
        <w:tc>
          <w:tcPr>
            <w:tcW w:w="864" w:type="dxa"/>
            <w:vAlign w:val="center"/>
          </w:tcPr>
          <w:p w14:paraId="6C82A991" w14:textId="77777777" w:rsidR="00E91F5F" w:rsidRPr="00670A31" w:rsidRDefault="00E91F5F" w:rsidP="00DA062A">
            <w:pPr>
              <w:jc w:val="center"/>
            </w:pPr>
            <w:r w:rsidRPr="00670A31">
              <w:t>.44</w:t>
            </w:r>
          </w:p>
        </w:tc>
        <w:tc>
          <w:tcPr>
            <w:tcW w:w="864" w:type="dxa"/>
            <w:vAlign w:val="center"/>
          </w:tcPr>
          <w:p w14:paraId="6BB0013B" w14:textId="77777777" w:rsidR="00E91F5F" w:rsidRPr="00670A31" w:rsidRDefault="00E91F5F" w:rsidP="00DA062A">
            <w:pPr>
              <w:jc w:val="center"/>
            </w:pPr>
            <w:r w:rsidRPr="00670A31">
              <w:t>.11</w:t>
            </w:r>
          </w:p>
        </w:tc>
        <w:tc>
          <w:tcPr>
            <w:tcW w:w="864" w:type="dxa"/>
            <w:vAlign w:val="center"/>
          </w:tcPr>
          <w:p w14:paraId="5A2C2174" w14:textId="77777777" w:rsidR="00E91F5F" w:rsidRPr="00670A31" w:rsidRDefault="00E91F5F" w:rsidP="00DA062A">
            <w:pPr>
              <w:jc w:val="center"/>
            </w:pPr>
            <w:r w:rsidRPr="00670A31">
              <w:t>.32</w:t>
            </w:r>
          </w:p>
        </w:tc>
        <w:tc>
          <w:tcPr>
            <w:tcW w:w="864" w:type="dxa"/>
            <w:vAlign w:val="center"/>
          </w:tcPr>
          <w:p w14:paraId="6A0C4411" w14:textId="77777777" w:rsidR="00E91F5F" w:rsidRPr="00670A31" w:rsidRDefault="00E91F5F" w:rsidP="00DA062A">
            <w:pPr>
              <w:jc w:val="center"/>
            </w:pPr>
            <w:r w:rsidRPr="00670A31">
              <w:t>.10</w:t>
            </w:r>
          </w:p>
        </w:tc>
        <w:tc>
          <w:tcPr>
            <w:tcW w:w="864" w:type="dxa"/>
            <w:vAlign w:val="center"/>
          </w:tcPr>
          <w:p w14:paraId="739C33B6" w14:textId="77777777" w:rsidR="00E91F5F" w:rsidRPr="00670A31" w:rsidRDefault="00E91F5F" w:rsidP="00DA062A">
            <w:pPr>
              <w:jc w:val="center"/>
            </w:pPr>
            <w:r w:rsidRPr="00670A31">
              <w:t>.30</w:t>
            </w:r>
          </w:p>
        </w:tc>
        <w:tc>
          <w:tcPr>
            <w:tcW w:w="864" w:type="dxa"/>
            <w:vAlign w:val="center"/>
          </w:tcPr>
          <w:p w14:paraId="4A78D0C4" w14:textId="77777777" w:rsidR="00E91F5F" w:rsidRPr="00670A31" w:rsidRDefault="00E91F5F" w:rsidP="00DA062A">
            <w:pPr>
              <w:jc w:val="center"/>
            </w:pPr>
            <w:r w:rsidRPr="00670A31">
              <w:t>.09</w:t>
            </w:r>
          </w:p>
        </w:tc>
        <w:tc>
          <w:tcPr>
            <w:tcW w:w="864" w:type="dxa"/>
            <w:vAlign w:val="center"/>
          </w:tcPr>
          <w:p w14:paraId="17EDCE97" w14:textId="77777777" w:rsidR="00E91F5F" w:rsidRPr="00670A31" w:rsidRDefault="00E91F5F" w:rsidP="00DA062A">
            <w:pPr>
              <w:jc w:val="center"/>
            </w:pPr>
            <w:r w:rsidRPr="00670A31">
              <w:t>.29</w:t>
            </w:r>
          </w:p>
        </w:tc>
      </w:tr>
      <w:tr w:rsidR="00E91F5F" w14:paraId="2FE6A860" w14:textId="77777777" w:rsidTr="00DA062A">
        <w:trPr>
          <w:jc w:val="right"/>
        </w:trPr>
        <w:tc>
          <w:tcPr>
            <w:tcW w:w="6156" w:type="dxa"/>
          </w:tcPr>
          <w:p w14:paraId="4384216B" w14:textId="77777777" w:rsidR="00E91F5F" w:rsidRPr="00B359EC" w:rsidRDefault="00E91F5F" w:rsidP="00E91F5F">
            <w:pPr>
              <w:spacing w:before="20" w:after="20"/>
              <w:rPr>
                <w:b/>
              </w:rPr>
            </w:pPr>
            <w:r w:rsidRPr="00B359EC">
              <w:rPr>
                <w:b/>
              </w:rPr>
              <w:t>Median monthly active patients</w:t>
            </w:r>
            <w:r>
              <w:rPr>
                <w:b/>
                <w:vertAlign w:val="superscript"/>
              </w:rPr>
              <w:t>2</w:t>
            </w:r>
          </w:p>
        </w:tc>
        <w:tc>
          <w:tcPr>
            <w:tcW w:w="864" w:type="dxa"/>
            <w:vAlign w:val="center"/>
          </w:tcPr>
          <w:p w14:paraId="3F02EFD2" w14:textId="77777777" w:rsidR="00E91F5F" w:rsidRPr="00670A31" w:rsidRDefault="00E91F5F" w:rsidP="00DA062A">
            <w:pPr>
              <w:jc w:val="center"/>
            </w:pPr>
            <w:r>
              <w:t>24.88</w:t>
            </w:r>
          </w:p>
        </w:tc>
        <w:tc>
          <w:tcPr>
            <w:tcW w:w="864" w:type="dxa"/>
            <w:vAlign w:val="center"/>
          </w:tcPr>
          <w:p w14:paraId="6EB71EFB" w14:textId="77777777" w:rsidR="00E91F5F" w:rsidRPr="00670A31" w:rsidRDefault="00E91F5F" w:rsidP="00DA062A">
            <w:pPr>
              <w:jc w:val="center"/>
            </w:pPr>
            <w:r>
              <w:t>23.91</w:t>
            </w:r>
          </w:p>
        </w:tc>
        <w:tc>
          <w:tcPr>
            <w:tcW w:w="864" w:type="dxa"/>
            <w:vAlign w:val="center"/>
          </w:tcPr>
          <w:p w14:paraId="022C7F45" w14:textId="77777777" w:rsidR="00E91F5F" w:rsidRPr="00670A31" w:rsidRDefault="00E91F5F" w:rsidP="00DA062A">
            <w:pPr>
              <w:jc w:val="center"/>
            </w:pPr>
            <w:r>
              <w:t>23.97</w:t>
            </w:r>
          </w:p>
        </w:tc>
        <w:tc>
          <w:tcPr>
            <w:tcW w:w="864" w:type="dxa"/>
            <w:vAlign w:val="center"/>
          </w:tcPr>
          <w:p w14:paraId="001B25C1" w14:textId="77777777" w:rsidR="00E91F5F" w:rsidRPr="00670A31" w:rsidRDefault="00E91F5F" w:rsidP="00DA062A">
            <w:pPr>
              <w:jc w:val="center"/>
            </w:pPr>
            <w:r>
              <w:t>22.09</w:t>
            </w:r>
          </w:p>
        </w:tc>
        <w:tc>
          <w:tcPr>
            <w:tcW w:w="864" w:type="dxa"/>
            <w:vAlign w:val="center"/>
          </w:tcPr>
          <w:p w14:paraId="2C840C9F" w14:textId="77777777" w:rsidR="00E91F5F" w:rsidRPr="00670A31" w:rsidRDefault="00E91F5F" w:rsidP="00DA062A">
            <w:pPr>
              <w:jc w:val="center"/>
            </w:pPr>
            <w:r>
              <w:t>22.36</w:t>
            </w:r>
          </w:p>
        </w:tc>
        <w:tc>
          <w:tcPr>
            <w:tcW w:w="864" w:type="dxa"/>
            <w:vAlign w:val="center"/>
          </w:tcPr>
          <w:p w14:paraId="60E50061" w14:textId="77777777" w:rsidR="00E91F5F" w:rsidRPr="00670A31" w:rsidRDefault="00E91F5F" w:rsidP="00DA062A">
            <w:pPr>
              <w:jc w:val="center"/>
            </w:pPr>
            <w:r>
              <w:t>19.37</w:t>
            </w:r>
          </w:p>
        </w:tc>
        <w:tc>
          <w:tcPr>
            <w:tcW w:w="864" w:type="dxa"/>
            <w:vAlign w:val="center"/>
          </w:tcPr>
          <w:p w14:paraId="4C4C63E7" w14:textId="77777777" w:rsidR="00E91F5F" w:rsidRPr="00670A31" w:rsidRDefault="00E91F5F" w:rsidP="00DA062A">
            <w:pPr>
              <w:jc w:val="center"/>
            </w:pPr>
            <w:r>
              <w:t>19.34</w:t>
            </w:r>
          </w:p>
        </w:tc>
        <w:tc>
          <w:tcPr>
            <w:tcW w:w="864" w:type="dxa"/>
            <w:vAlign w:val="center"/>
          </w:tcPr>
          <w:p w14:paraId="29A16684" w14:textId="77777777" w:rsidR="00E91F5F" w:rsidRPr="00670A31" w:rsidRDefault="00E91F5F" w:rsidP="00DA062A">
            <w:pPr>
              <w:jc w:val="center"/>
            </w:pPr>
            <w:r>
              <w:t>17.35</w:t>
            </w:r>
          </w:p>
        </w:tc>
      </w:tr>
      <w:tr w:rsidR="00E91F5F" w14:paraId="4FCBAA91" w14:textId="77777777" w:rsidTr="00DA062A">
        <w:trPr>
          <w:jc w:val="right"/>
        </w:trPr>
        <w:tc>
          <w:tcPr>
            <w:tcW w:w="6156" w:type="dxa"/>
          </w:tcPr>
          <w:p w14:paraId="3ED63D39" w14:textId="77777777" w:rsidR="00E91F5F" w:rsidRPr="00B359EC" w:rsidRDefault="00E91F5F" w:rsidP="00DA062A">
            <w:pPr>
              <w:spacing w:before="20" w:after="20"/>
              <w:rPr>
                <w:b/>
              </w:rPr>
            </w:pPr>
            <w:r w:rsidRPr="00B359EC">
              <w:rPr>
                <w:b/>
              </w:rPr>
              <w:t>Degree (no. of shared-patient ties of at least 10 patients</w:t>
            </w:r>
            <w:r>
              <w:rPr>
                <w:b/>
              </w:rPr>
              <w:t>)</w:t>
            </w:r>
            <w:r>
              <w:rPr>
                <w:b/>
                <w:vertAlign w:val="superscript"/>
              </w:rPr>
              <w:t>2</w:t>
            </w:r>
          </w:p>
        </w:tc>
        <w:tc>
          <w:tcPr>
            <w:tcW w:w="864" w:type="dxa"/>
            <w:vAlign w:val="center"/>
          </w:tcPr>
          <w:p w14:paraId="3BF77F16" w14:textId="77777777" w:rsidR="00E91F5F" w:rsidRPr="00670A31" w:rsidRDefault="00E91F5F" w:rsidP="00DA062A">
            <w:pPr>
              <w:jc w:val="center"/>
            </w:pPr>
            <w:r>
              <w:t>.97</w:t>
            </w:r>
          </w:p>
        </w:tc>
        <w:tc>
          <w:tcPr>
            <w:tcW w:w="864" w:type="dxa"/>
            <w:vAlign w:val="center"/>
          </w:tcPr>
          <w:p w14:paraId="20D33E7E" w14:textId="77777777" w:rsidR="00E91F5F" w:rsidRPr="00670A31" w:rsidRDefault="00E91F5F" w:rsidP="00DA062A">
            <w:pPr>
              <w:jc w:val="center"/>
            </w:pPr>
            <w:r>
              <w:t>1.87</w:t>
            </w:r>
          </w:p>
        </w:tc>
        <w:tc>
          <w:tcPr>
            <w:tcW w:w="864" w:type="dxa"/>
            <w:vAlign w:val="center"/>
          </w:tcPr>
          <w:p w14:paraId="631136E5" w14:textId="77777777" w:rsidR="00E91F5F" w:rsidRPr="00670A31" w:rsidRDefault="00E91F5F" w:rsidP="00DA062A">
            <w:pPr>
              <w:jc w:val="center"/>
            </w:pPr>
            <w:r>
              <w:t>1.38</w:t>
            </w:r>
          </w:p>
        </w:tc>
        <w:tc>
          <w:tcPr>
            <w:tcW w:w="864" w:type="dxa"/>
            <w:vAlign w:val="center"/>
          </w:tcPr>
          <w:p w14:paraId="2673E834" w14:textId="77777777" w:rsidR="00E91F5F" w:rsidRPr="00670A31" w:rsidRDefault="00E91F5F" w:rsidP="00DA062A">
            <w:pPr>
              <w:jc w:val="center"/>
            </w:pPr>
            <w:r>
              <w:t>2.41</w:t>
            </w:r>
          </w:p>
        </w:tc>
        <w:tc>
          <w:tcPr>
            <w:tcW w:w="864" w:type="dxa"/>
            <w:vAlign w:val="center"/>
          </w:tcPr>
          <w:p w14:paraId="479FD3C7" w14:textId="77777777" w:rsidR="00E91F5F" w:rsidRPr="00670A31" w:rsidRDefault="00E91F5F" w:rsidP="00DA062A">
            <w:pPr>
              <w:jc w:val="center"/>
            </w:pPr>
            <w:r>
              <w:t>1.41</w:t>
            </w:r>
          </w:p>
        </w:tc>
        <w:tc>
          <w:tcPr>
            <w:tcW w:w="864" w:type="dxa"/>
            <w:vAlign w:val="center"/>
          </w:tcPr>
          <w:p w14:paraId="598C5EAB" w14:textId="77777777" w:rsidR="00E91F5F" w:rsidRPr="00670A31" w:rsidRDefault="00E91F5F" w:rsidP="00DA062A">
            <w:pPr>
              <w:jc w:val="center"/>
            </w:pPr>
            <w:r>
              <w:t>2.17</w:t>
            </w:r>
          </w:p>
        </w:tc>
        <w:tc>
          <w:tcPr>
            <w:tcW w:w="864" w:type="dxa"/>
            <w:vAlign w:val="center"/>
          </w:tcPr>
          <w:p w14:paraId="7918BD1B" w14:textId="77777777" w:rsidR="00E91F5F" w:rsidRPr="00670A31" w:rsidRDefault="00E91F5F" w:rsidP="00DA062A">
            <w:pPr>
              <w:jc w:val="center"/>
            </w:pPr>
            <w:r>
              <w:t>1.50</w:t>
            </w:r>
          </w:p>
        </w:tc>
        <w:tc>
          <w:tcPr>
            <w:tcW w:w="864" w:type="dxa"/>
            <w:vAlign w:val="center"/>
          </w:tcPr>
          <w:p w14:paraId="451B9FBB" w14:textId="77777777" w:rsidR="00E91F5F" w:rsidRPr="00670A31" w:rsidRDefault="00E91F5F" w:rsidP="00DA062A">
            <w:pPr>
              <w:jc w:val="center"/>
            </w:pPr>
            <w:r>
              <w:t>2.24</w:t>
            </w:r>
          </w:p>
        </w:tc>
      </w:tr>
      <w:tr w:rsidR="00E91F5F" w14:paraId="7F1728AF" w14:textId="77777777" w:rsidTr="00DA062A">
        <w:trPr>
          <w:jc w:val="right"/>
        </w:trPr>
        <w:tc>
          <w:tcPr>
            <w:tcW w:w="6156" w:type="dxa"/>
          </w:tcPr>
          <w:p w14:paraId="535B4A27" w14:textId="77777777" w:rsidR="00E91F5F" w:rsidRPr="00B359EC" w:rsidRDefault="00E91F5F" w:rsidP="00DA062A">
            <w:pPr>
              <w:spacing w:before="20" w:after="20"/>
              <w:rPr>
                <w:b/>
              </w:rPr>
            </w:pPr>
            <w:r w:rsidRPr="00B359EC">
              <w:rPr>
                <w:b/>
              </w:rPr>
              <w:t>Percent of patients on Medicaid</w:t>
            </w:r>
            <w:r>
              <w:rPr>
                <w:b/>
                <w:vertAlign w:val="superscript"/>
              </w:rPr>
              <w:t>2</w:t>
            </w:r>
          </w:p>
        </w:tc>
        <w:tc>
          <w:tcPr>
            <w:tcW w:w="864" w:type="dxa"/>
            <w:vAlign w:val="center"/>
          </w:tcPr>
          <w:p w14:paraId="70388CF6" w14:textId="77777777" w:rsidR="00E91F5F" w:rsidRPr="00670A31" w:rsidRDefault="00E91F5F" w:rsidP="00DA062A">
            <w:pPr>
              <w:jc w:val="center"/>
            </w:pPr>
            <w:r w:rsidRPr="00670A31">
              <w:t>-</w:t>
            </w:r>
            <w:r w:rsidRPr="00670A31">
              <w:rPr>
                <w:vertAlign w:val="superscript"/>
              </w:rPr>
              <w:t>3</w:t>
            </w:r>
          </w:p>
        </w:tc>
        <w:tc>
          <w:tcPr>
            <w:tcW w:w="864" w:type="dxa"/>
            <w:vAlign w:val="center"/>
          </w:tcPr>
          <w:p w14:paraId="4484AE8E" w14:textId="77777777" w:rsidR="00E91F5F" w:rsidRPr="00670A31" w:rsidRDefault="00E91F5F" w:rsidP="00DA062A">
            <w:pPr>
              <w:jc w:val="center"/>
            </w:pPr>
          </w:p>
        </w:tc>
        <w:tc>
          <w:tcPr>
            <w:tcW w:w="864" w:type="dxa"/>
            <w:vAlign w:val="center"/>
          </w:tcPr>
          <w:p w14:paraId="31295AB9" w14:textId="77777777" w:rsidR="00E91F5F" w:rsidRPr="00670A31" w:rsidRDefault="00E91F5F" w:rsidP="00DA062A">
            <w:pPr>
              <w:jc w:val="center"/>
            </w:pPr>
            <w:r>
              <w:t>30.12</w:t>
            </w:r>
          </w:p>
        </w:tc>
        <w:tc>
          <w:tcPr>
            <w:tcW w:w="864" w:type="dxa"/>
            <w:vAlign w:val="center"/>
          </w:tcPr>
          <w:p w14:paraId="1A8A3C95" w14:textId="77777777" w:rsidR="00E91F5F" w:rsidRPr="00670A31" w:rsidRDefault="00E91F5F" w:rsidP="00DA062A">
            <w:pPr>
              <w:jc w:val="center"/>
            </w:pPr>
            <w:r>
              <w:t>18.95</w:t>
            </w:r>
          </w:p>
        </w:tc>
        <w:tc>
          <w:tcPr>
            <w:tcW w:w="864" w:type="dxa"/>
            <w:vAlign w:val="center"/>
          </w:tcPr>
          <w:p w14:paraId="4442DDA5" w14:textId="77777777" w:rsidR="00E91F5F" w:rsidRPr="00670A31" w:rsidRDefault="00E91F5F" w:rsidP="00DA062A">
            <w:pPr>
              <w:jc w:val="center"/>
            </w:pPr>
            <w:r>
              <w:t>39.11</w:t>
            </w:r>
          </w:p>
        </w:tc>
        <w:tc>
          <w:tcPr>
            <w:tcW w:w="864" w:type="dxa"/>
            <w:vAlign w:val="center"/>
          </w:tcPr>
          <w:p w14:paraId="543DE1A6" w14:textId="77777777" w:rsidR="00E91F5F" w:rsidRPr="00670A31" w:rsidRDefault="00E91F5F" w:rsidP="00DA062A">
            <w:pPr>
              <w:jc w:val="center"/>
            </w:pPr>
            <w:r>
              <w:t>23.11</w:t>
            </w:r>
          </w:p>
        </w:tc>
        <w:tc>
          <w:tcPr>
            <w:tcW w:w="864" w:type="dxa"/>
            <w:vAlign w:val="center"/>
          </w:tcPr>
          <w:p w14:paraId="65068DEC" w14:textId="77777777" w:rsidR="00E91F5F" w:rsidRPr="00670A31" w:rsidRDefault="00E91F5F" w:rsidP="00DA062A">
            <w:pPr>
              <w:jc w:val="center"/>
            </w:pPr>
            <w:r>
              <w:t>43.31</w:t>
            </w:r>
          </w:p>
        </w:tc>
        <w:tc>
          <w:tcPr>
            <w:tcW w:w="864" w:type="dxa"/>
            <w:vAlign w:val="center"/>
          </w:tcPr>
          <w:p w14:paraId="477F70CC" w14:textId="77777777" w:rsidR="00E91F5F" w:rsidRPr="00670A31" w:rsidRDefault="00E91F5F" w:rsidP="00DA062A">
            <w:pPr>
              <w:jc w:val="center"/>
            </w:pPr>
            <w:r>
              <w:t>23.99</w:t>
            </w:r>
          </w:p>
        </w:tc>
      </w:tr>
      <w:tr w:rsidR="00E91F5F" w14:paraId="14A8C1D4" w14:textId="77777777" w:rsidTr="00DA062A">
        <w:trPr>
          <w:jc w:val="right"/>
        </w:trPr>
        <w:tc>
          <w:tcPr>
            <w:tcW w:w="6156" w:type="dxa"/>
          </w:tcPr>
          <w:p w14:paraId="3680B4F7" w14:textId="77777777" w:rsidR="00E91F5F" w:rsidRPr="00B359EC" w:rsidRDefault="008452F8" w:rsidP="00DA062A">
            <w:pPr>
              <w:spacing w:before="20" w:after="20"/>
              <w:rPr>
                <w:b/>
              </w:rPr>
            </w:pPr>
            <w:r>
              <w:rPr>
                <w:b/>
              </w:rPr>
              <w:t>Number</w:t>
            </w:r>
            <w:r w:rsidR="00E91F5F">
              <w:rPr>
                <w:b/>
              </w:rPr>
              <w:t xml:space="preserve"> of </w:t>
            </w:r>
            <w:r>
              <w:rPr>
                <w:b/>
              </w:rPr>
              <w:t xml:space="preserve">shared-patient </w:t>
            </w:r>
            <w:r w:rsidR="00E91F5F">
              <w:rPr>
                <w:b/>
              </w:rPr>
              <w:t>ties which are to prior adopters of the 275-patient waiver</w:t>
            </w:r>
            <w:r w:rsidR="00E91F5F" w:rsidRPr="00E91F5F">
              <w:rPr>
                <w:vertAlign w:val="superscript"/>
              </w:rPr>
              <w:t>2</w:t>
            </w:r>
          </w:p>
        </w:tc>
        <w:tc>
          <w:tcPr>
            <w:tcW w:w="864" w:type="dxa"/>
            <w:vAlign w:val="center"/>
          </w:tcPr>
          <w:p w14:paraId="02AB3715" w14:textId="77777777" w:rsidR="00E91F5F" w:rsidRPr="00670A31" w:rsidRDefault="00E91F5F" w:rsidP="00DA062A">
            <w:pPr>
              <w:jc w:val="center"/>
            </w:pPr>
            <w:r>
              <w:t>-</w:t>
            </w:r>
          </w:p>
        </w:tc>
        <w:tc>
          <w:tcPr>
            <w:tcW w:w="864" w:type="dxa"/>
            <w:vAlign w:val="center"/>
          </w:tcPr>
          <w:p w14:paraId="7D6CE1D0" w14:textId="77777777" w:rsidR="00E91F5F" w:rsidRPr="00670A31" w:rsidRDefault="00E91F5F" w:rsidP="00DA062A">
            <w:pPr>
              <w:jc w:val="center"/>
            </w:pPr>
            <w:r>
              <w:t>-</w:t>
            </w:r>
          </w:p>
        </w:tc>
        <w:tc>
          <w:tcPr>
            <w:tcW w:w="864" w:type="dxa"/>
            <w:vAlign w:val="center"/>
          </w:tcPr>
          <w:p w14:paraId="551FE9D1" w14:textId="77777777" w:rsidR="00E91F5F" w:rsidRDefault="008452F8" w:rsidP="00DA062A">
            <w:pPr>
              <w:jc w:val="center"/>
            </w:pPr>
            <w:r>
              <w:t>.37</w:t>
            </w:r>
          </w:p>
        </w:tc>
        <w:tc>
          <w:tcPr>
            <w:tcW w:w="864" w:type="dxa"/>
            <w:vAlign w:val="center"/>
          </w:tcPr>
          <w:p w14:paraId="4459CE11" w14:textId="77777777" w:rsidR="00E91F5F" w:rsidRDefault="008452F8" w:rsidP="00DA062A">
            <w:pPr>
              <w:jc w:val="center"/>
            </w:pPr>
            <w:r>
              <w:t>.78</w:t>
            </w:r>
          </w:p>
        </w:tc>
        <w:tc>
          <w:tcPr>
            <w:tcW w:w="864" w:type="dxa"/>
            <w:vAlign w:val="center"/>
          </w:tcPr>
          <w:p w14:paraId="44434588" w14:textId="77777777" w:rsidR="00E91F5F" w:rsidRDefault="008452F8" w:rsidP="00DA062A">
            <w:pPr>
              <w:jc w:val="center"/>
            </w:pPr>
            <w:r>
              <w:t>.47</w:t>
            </w:r>
          </w:p>
        </w:tc>
        <w:tc>
          <w:tcPr>
            <w:tcW w:w="864" w:type="dxa"/>
            <w:vAlign w:val="center"/>
          </w:tcPr>
          <w:p w14:paraId="63CF46B3" w14:textId="77777777" w:rsidR="00E91F5F" w:rsidRDefault="008452F8" w:rsidP="00DA062A">
            <w:pPr>
              <w:jc w:val="center"/>
            </w:pPr>
            <w:r>
              <w:t>.90</w:t>
            </w:r>
          </w:p>
        </w:tc>
        <w:tc>
          <w:tcPr>
            <w:tcW w:w="864" w:type="dxa"/>
            <w:vAlign w:val="center"/>
          </w:tcPr>
          <w:p w14:paraId="21D82821" w14:textId="77777777" w:rsidR="00E91F5F" w:rsidRDefault="008452F8" w:rsidP="00DA062A">
            <w:pPr>
              <w:jc w:val="center"/>
            </w:pPr>
            <w:r>
              <w:t>.52</w:t>
            </w:r>
          </w:p>
        </w:tc>
        <w:tc>
          <w:tcPr>
            <w:tcW w:w="864" w:type="dxa"/>
            <w:vAlign w:val="center"/>
          </w:tcPr>
          <w:p w14:paraId="7C88516D" w14:textId="77777777" w:rsidR="00E91F5F" w:rsidRDefault="008452F8" w:rsidP="00DA062A">
            <w:pPr>
              <w:jc w:val="center"/>
            </w:pPr>
            <w:r>
              <w:t>1.01</w:t>
            </w:r>
          </w:p>
        </w:tc>
      </w:tr>
      <w:tr w:rsidR="00E91F5F" w14:paraId="0597F2CC" w14:textId="77777777" w:rsidTr="00DA062A">
        <w:trPr>
          <w:jc w:val="right"/>
        </w:trPr>
        <w:tc>
          <w:tcPr>
            <w:tcW w:w="6156" w:type="dxa"/>
          </w:tcPr>
          <w:p w14:paraId="2920A5FA" w14:textId="77777777" w:rsidR="00E91F5F" w:rsidRPr="00B359EC" w:rsidRDefault="00E91F5F" w:rsidP="00DA062A">
            <w:pPr>
              <w:spacing w:before="20" w:after="20"/>
              <w:rPr>
                <w:b/>
              </w:rPr>
            </w:pPr>
            <w:r w:rsidRPr="00B359EC">
              <w:rPr>
                <w:b/>
              </w:rPr>
              <w:t>Years waivered for 100 patients</w:t>
            </w:r>
            <w:r>
              <w:rPr>
                <w:b/>
                <w:vertAlign w:val="superscript"/>
              </w:rPr>
              <w:t>2</w:t>
            </w:r>
            <w:r w:rsidRPr="00B359EC">
              <w:rPr>
                <w:b/>
              </w:rPr>
              <w:t xml:space="preserve"> </w:t>
            </w:r>
          </w:p>
        </w:tc>
        <w:tc>
          <w:tcPr>
            <w:tcW w:w="864" w:type="dxa"/>
            <w:vAlign w:val="center"/>
          </w:tcPr>
          <w:p w14:paraId="648C37FE" w14:textId="77777777" w:rsidR="00E91F5F" w:rsidRPr="00670A31" w:rsidRDefault="00E91F5F" w:rsidP="00DA062A">
            <w:pPr>
              <w:jc w:val="center"/>
            </w:pPr>
            <w:r>
              <w:t>3.69</w:t>
            </w:r>
          </w:p>
        </w:tc>
        <w:tc>
          <w:tcPr>
            <w:tcW w:w="864" w:type="dxa"/>
            <w:vAlign w:val="center"/>
          </w:tcPr>
          <w:p w14:paraId="724CF2BF" w14:textId="77777777" w:rsidR="00E91F5F" w:rsidRPr="00670A31" w:rsidRDefault="00E91F5F" w:rsidP="00DA062A">
            <w:pPr>
              <w:jc w:val="center"/>
            </w:pPr>
            <w:r>
              <w:t>2.97</w:t>
            </w:r>
          </w:p>
        </w:tc>
        <w:tc>
          <w:tcPr>
            <w:tcW w:w="864" w:type="dxa"/>
            <w:vAlign w:val="center"/>
          </w:tcPr>
          <w:p w14:paraId="0D0983AC" w14:textId="77777777" w:rsidR="00E91F5F" w:rsidRPr="00670A31" w:rsidRDefault="00E91F5F" w:rsidP="00DA062A">
            <w:pPr>
              <w:jc w:val="center"/>
            </w:pPr>
            <w:r>
              <w:t>3.80</w:t>
            </w:r>
          </w:p>
        </w:tc>
        <w:tc>
          <w:tcPr>
            <w:tcW w:w="864" w:type="dxa"/>
            <w:vAlign w:val="center"/>
          </w:tcPr>
          <w:p w14:paraId="410D21BF" w14:textId="77777777" w:rsidR="00E91F5F" w:rsidRPr="00670A31" w:rsidRDefault="00E91F5F" w:rsidP="00DA062A">
            <w:pPr>
              <w:jc w:val="center"/>
            </w:pPr>
            <w:r>
              <w:t>3.22</w:t>
            </w:r>
          </w:p>
        </w:tc>
        <w:tc>
          <w:tcPr>
            <w:tcW w:w="864" w:type="dxa"/>
            <w:vAlign w:val="center"/>
          </w:tcPr>
          <w:p w14:paraId="2FD46212" w14:textId="77777777" w:rsidR="00E91F5F" w:rsidRPr="00670A31" w:rsidRDefault="00E91F5F" w:rsidP="00DA062A">
            <w:pPr>
              <w:jc w:val="center"/>
            </w:pPr>
            <w:r>
              <w:t>4.22</w:t>
            </w:r>
          </w:p>
        </w:tc>
        <w:tc>
          <w:tcPr>
            <w:tcW w:w="864" w:type="dxa"/>
            <w:vAlign w:val="center"/>
          </w:tcPr>
          <w:p w14:paraId="01C32389" w14:textId="77777777" w:rsidR="00E91F5F" w:rsidRPr="00670A31" w:rsidRDefault="00E91F5F" w:rsidP="00DA062A">
            <w:pPr>
              <w:jc w:val="center"/>
            </w:pPr>
            <w:r>
              <w:t>3.44</w:t>
            </w:r>
          </w:p>
        </w:tc>
        <w:tc>
          <w:tcPr>
            <w:tcW w:w="864" w:type="dxa"/>
            <w:vAlign w:val="center"/>
          </w:tcPr>
          <w:p w14:paraId="3636EDD3" w14:textId="77777777" w:rsidR="00E91F5F" w:rsidRPr="00670A31" w:rsidRDefault="00E91F5F" w:rsidP="00DA062A">
            <w:pPr>
              <w:jc w:val="center"/>
            </w:pPr>
            <w:r>
              <w:t>4.11</w:t>
            </w:r>
          </w:p>
        </w:tc>
        <w:tc>
          <w:tcPr>
            <w:tcW w:w="864" w:type="dxa"/>
            <w:vAlign w:val="center"/>
          </w:tcPr>
          <w:p w14:paraId="744E9430" w14:textId="77777777" w:rsidR="00E91F5F" w:rsidRPr="00670A31" w:rsidRDefault="00E91F5F" w:rsidP="00DA062A">
            <w:pPr>
              <w:jc w:val="center"/>
            </w:pPr>
            <w:r>
              <w:t>3.74</w:t>
            </w:r>
          </w:p>
        </w:tc>
      </w:tr>
      <w:tr w:rsidR="00E91F5F" w14:paraId="37E2852F" w14:textId="77777777" w:rsidTr="00DA062A">
        <w:trPr>
          <w:jc w:val="right"/>
        </w:trPr>
        <w:tc>
          <w:tcPr>
            <w:tcW w:w="6156" w:type="dxa"/>
          </w:tcPr>
          <w:p w14:paraId="314A2B3E" w14:textId="77777777" w:rsidR="00E91F5F" w:rsidRDefault="00E91F5F" w:rsidP="00DA062A">
            <w:pPr>
              <w:spacing w:before="20" w:after="20"/>
              <w:rPr>
                <w:b/>
              </w:rPr>
            </w:pPr>
            <w:r>
              <w:rPr>
                <w:b/>
              </w:rPr>
              <w:t>Medical specialty</w:t>
            </w:r>
            <w:r>
              <w:rPr>
                <w:b/>
                <w:vertAlign w:val="superscript"/>
              </w:rPr>
              <w:t>2,4</w:t>
            </w:r>
            <w:r>
              <w:rPr>
                <w:b/>
              </w:rPr>
              <w:t>:</w:t>
            </w:r>
          </w:p>
          <w:p w14:paraId="0569A6AB" w14:textId="77777777" w:rsidR="00E91F5F" w:rsidRPr="00B359EC" w:rsidRDefault="00E91F5F" w:rsidP="00DA062A">
            <w:pPr>
              <w:spacing w:before="20" w:after="20"/>
              <w:rPr>
                <w:b/>
              </w:rPr>
            </w:pPr>
            <w:r>
              <w:rPr>
                <w:b/>
              </w:rPr>
              <w:t xml:space="preserve">     Physician - general</w:t>
            </w:r>
          </w:p>
        </w:tc>
        <w:tc>
          <w:tcPr>
            <w:tcW w:w="864" w:type="dxa"/>
            <w:vAlign w:val="center"/>
          </w:tcPr>
          <w:p w14:paraId="412BA9FD" w14:textId="77777777" w:rsidR="00E91F5F" w:rsidRPr="00670A31" w:rsidRDefault="00E91F5F" w:rsidP="00DA062A">
            <w:pPr>
              <w:jc w:val="center"/>
            </w:pPr>
            <w:r>
              <w:t>.35</w:t>
            </w:r>
          </w:p>
        </w:tc>
        <w:tc>
          <w:tcPr>
            <w:tcW w:w="864" w:type="dxa"/>
            <w:vAlign w:val="center"/>
          </w:tcPr>
          <w:p w14:paraId="43252DC5" w14:textId="77777777" w:rsidR="00E91F5F" w:rsidRPr="00670A31" w:rsidRDefault="00E91F5F" w:rsidP="00DA062A">
            <w:pPr>
              <w:jc w:val="center"/>
            </w:pPr>
            <w:r>
              <w:t>.48</w:t>
            </w:r>
          </w:p>
        </w:tc>
        <w:tc>
          <w:tcPr>
            <w:tcW w:w="864" w:type="dxa"/>
            <w:vAlign w:val="center"/>
          </w:tcPr>
          <w:p w14:paraId="0459B6C3" w14:textId="77777777" w:rsidR="00E91F5F" w:rsidRPr="00670A31" w:rsidRDefault="00E91F5F" w:rsidP="00DA062A">
            <w:pPr>
              <w:jc w:val="center"/>
            </w:pPr>
            <w:r>
              <w:t>.41</w:t>
            </w:r>
          </w:p>
        </w:tc>
        <w:tc>
          <w:tcPr>
            <w:tcW w:w="864" w:type="dxa"/>
            <w:vAlign w:val="center"/>
          </w:tcPr>
          <w:p w14:paraId="00C5024D" w14:textId="77777777" w:rsidR="00E91F5F" w:rsidRPr="00670A31" w:rsidRDefault="00E91F5F" w:rsidP="00DA062A">
            <w:pPr>
              <w:jc w:val="center"/>
            </w:pPr>
            <w:r>
              <w:t>.49</w:t>
            </w:r>
          </w:p>
        </w:tc>
        <w:tc>
          <w:tcPr>
            <w:tcW w:w="864" w:type="dxa"/>
            <w:vAlign w:val="center"/>
          </w:tcPr>
          <w:p w14:paraId="20F604F0" w14:textId="77777777" w:rsidR="00E91F5F" w:rsidRPr="00670A31" w:rsidRDefault="00E91F5F" w:rsidP="00DA062A">
            <w:pPr>
              <w:jc w:val="center"/>
            </w:pPr>
            <w:r>
              <w:t>.41</w:t>
            </w:r>
          </w:p>
        </w:tc>
        <w:tc>
          <w:tcPr>
            <w:tcW w:w="864" w:type="dxa"/>
            <w:vAlign w:val="center"/>
          </w:tcPr>
          <w:p w14:paraId="1928312D" w14:textId="77777777" w:rsidR="00E91F5F" w:rsidRPr="00670A31" w:rsidRDefault="00E91F5F" w:rsidP="00DA062A">
            <w:pPr>
              <w:jc w:val="center"/>
            </w:pPr>
            <w:r>
              <w:t>.49</w:t>
            </w:r>
          </w:p>
        </w:tc>
        <w:tc>
          <w:tcPr>
            <w:tcW w:w="864" w:type="dxa"/>
            <w:vAlign w:val="center"/>
          </w:tcPr>
          <w:p w14:paraId="35F33CFD" w14:textId="77777777" w:rsidR="00E91F5F" w:rsidRPr="00670A31" w:rsidRDefault="00E91F5F" w:rsidP="00DA062A">
            <w:pPr>
              <w:jc w:val="center"/>
            </w:pPr>
            <w:r>
              <w:t>.35</w:t>
            </w:r>
          </w:p>
        </w:tc>
        <w:tc>
          <w:tcPr>
            <w:tcW w:w="864" w:type="dxa"/>
            <w:vAlign w:val="center"/>
          </w:tcPr>
          <w:p w14:paraId="4F77897E" w14:textId="77777777" w:rsidR="00E91F5F" w:rsidRPr="00670A31" w:rsidRDefault="00E91F5F" w:rsidP="00DA062A">
            <w:pPr>
              <w:jc w:val="center"/>
            </w:pPr>
            <w:r>
              <w:t>.48</w:t>
            </w:r>
          </w:p>
        </w:tc>
      </w:tr>
      <w:tr w:rsidR="00E91F5F" w14:paraId="673CE056" w14:textId="77777777" w:rsidTr="00DA062A">
        <w:trPr>
          <w:jc w:val="right"/>
        </w:trPr>
        <w:tc>
          <w:tcPr>
            <w:tcW w:w="6156" w:type="dxa"/>
          </w:tcPr>
          <w:p w14:paraId="081C30D2" w14:textId="77777777" w:rsidR="00E91F5F" w:rsidRDefault="00E91F5F" w:rsidP="00DA062A">
            <w:pPr>
              <w:spacing w:before="20" w:after="20"/>
              <w:rPr>
                <w:b/>
              </w:rPr>
            </w:pPr>
            <w:r>
              <w:rPr>
                <w:b/>
              </w:rPr>
              <w:t xml:space="preserve">     Physician – psychiatry &amp;    </w:t>
            </w:r>
          </w:p>
          <w:p w14:paraId="3C89AC79" w14:textId="77777777" w:rsidR="00E91F5F" w:rsidRPr="00B359EC" w:rsidRDefault="00E91F5F" w:rsidP="00DA062A">
            <w:pPr>
              <w:spacing w:before="20" w:after="20"/>
              <w:rPr>
                <w:b/>
              </w:rPr>
            </w:pPr>
            <w:r>
              <w:rPr>
                <w:b/>
              </w:rPr>
              <w:t xml:space="preserve">     neurology</w:t>
            </w:r>
          </w:p>
        </w:tc>
        <w:tc>
          <w:tcPr>
            <w:tcW w:w="864" w:type="dxa"/>
            <w:vAlign w:val="center"/>
          </w:tcPr>
          <w:p w14:paraId="08AA830A" w14:textId="77777777" w:rsidR="00E91F5F" w:rsidRPr="00670A31" w:rsidRDefault="00E91F5F" w:rsidP="00DA062A">
            <w:pPr>
              <w:jc w:val="center"/>
            </w:pPr>
            <w:r>
              <w:t>.42</w:t>
            </w:r>
          </w:p>
        </w:tc>
        <w:tc>
          <w:tcPr>
            <w:tcW w:w="864" w:type="dxa"/>
            <w:vAlign w:val="center"/>
          </w:tcPr>
          <w:p w14:paraId="1071CB63" w14:textId="77777777" w:rsidR="00E91F5F" w:rsidRPr="00670A31" w:rsidRDefault="00E91F5F" w:rsidP="00DA062A">
            <w:pPr>
              <w:jc w:val="center"/>
            </w:pPr>
            <w:r>
              <w:t>.49</w:t>
            </w:r>
          </w:p>
        </w:tc>
        <w:tc>
          <w:tcPr>
            <w:tcW w:w="864" w:type="dxa"/>
            <w:vAlign w:val="center"/>
          </w:tcPr>
          <w:p w14:paraId="789443A4" w14:textId="77777777" w:rsidR="00E91F5F" w:rsidRPr="00670A31" w:rsidRDefault="00E91F5F" w:rsidP="00DA062A">
            <w:pPr>
              <w:jc w:val="center"/>
            </w:pPr>
            <w:r>
              <w:t>.37</w:t>
            </w:r>
          </w:p>
        </w:tc>
        <w:tc>
          <w:tcPr>
            <w:tcW w:w="864" w:type="dxa"/>
            <w:vAlign w:val="center"/>
          </w:tcPr>
          <w:p w14:paraId="6AF3F0FF" w14:textId="77777777" w:rsidR="00E91F5F" w:rsidRPr="00670A31" w:rsidRDefault="00E91F5F" w:rsidP="00DA062A">
            <w:pPr>
              <w:jc w:val="center"/>
            </w:pPr>
            <w:r>
              <w:t>.48</w:t>
            </w:r>
          </w:p>
        </w:tc>
        <w:tc>
          <w:tcPr>
            <w:tcW w:w="864" w:type="dxa"/>
            <w:vAlign w:val="center"/>
          </w:tcPr>
          <w:p w14:paraId="2B7161BF" w14:textId="77777777" w:rsidR="00E91F5F" w:rsidRPr="00670A31" w:rsidRDefault="00E91F5F" w:rsidP="00DA062A">
            <w:pPr>
              <w:jc w:val="center"/>
            </w:pPr>
            <w:r>
              <w:t>.34</w:t>
            </w:r>
          </w:p>
        </w:tc>
        <w:tc>
          <w:tcPr>
            <w:tcW w:w="864" w:type="dxa"/>
            <w:vAlign w:val="center"/>
          </w:tcPr>
          <w:p w14:paraId="37BFA0A6" w14:textId="77777777" w:rsidR="00E91F5F" w:rsidRPr="00670A31" w:rsidRDefault="00E91F5F" w:rsidP="00DA062A">
            <w:pPr>
              <w:jc w:val="center"/>
            </w:pPr>
            <w:r>
              <w:t>.47</w:t>
            </w:r>
          </w:p>
        </w:tc>
        <w:tc>
          <w:tcPr>
            <w:tcW w:w="864" w:type="dxa"/>
            <w:vAlign w:val="center"/>
          </w:tcPr>
          <w:p w14:paraId="4D82C5FD" w14:textId="77777777" w:rsidR="00E91F5F" w:rsidRPr="00670A31" w:rsidRDefault="00E91F5F" w:rsidP="00DA062A">
            <w:pPr>
              <w:jc w:val="center"/>
            </w:pPr>
            <w:r>
              <w:t>.28</w:t>
            </w:r>
          </w:p>
        </w:tc>
        <w:tc>
          <w:tcPr>
            <w:tcW w:w="864" w:type="dxa"/>
            <w:vAlign w:val="center"/>
          </w:tcPr>
          <w:p w14:paraId="2CF251E7" w14:textId="77777777" w:rsidR="00E91F5F" w:rsidRPr="00670A31" w:rsidRDefault="00E91F5F" w:rsidP="00DA062A">
            <w:pPr>
              <w:jc w:val="center"/>
            </w:pPr>
            <w:r>
              <w:t>.45</w:t>
            </w:r>
          </w:p>
        </w:tc>
      </w:tr>
      <w:tr w:rsidR="00E91F5F" w14:paraId="7A1BC10B" w14:textId="77777777" w:rsidTr="00DA062A">
        <w:trPr>
          <w:jc w:val="right"/>
        </w:trPr>
        <w:tc>
          <w:tcPr>
            <w:tcW w:w="6156" w:type="dxa"/>
          </w:tcPr>
          <w:p w14:paraId="25771FC8" w14:textId="77777777" w:rsidR="00E91F5F" w:rsidRPr="00B359EC" w:rsidRDefault="00E91F5F" w:rsidP="00DA062A">
            <w:pPr>
              <w:spacing w:before="20" w:after="20"/>
              <w:rPr>
                <w:b/>
              </w:rPr>
            </w:pPr>
            <w:r>
              <w:rPr>
                <w:b/>
              </w:rPr>
              <w:t xml:space="preserve">     Physician - other</w:t>
            </w:r>
          </w:p>
        </w:tc>
        <w:tc>
          <w:tcPr>
            <w:tcW w:w="864" w:type="dxa"/>
            <w:vAlign w:val="center"/>
          </w:tcPr>
          <w:p w14:paraId="660AFBA5" w14:textId="77777777" w:rsidR="00E91F5F" w:rsidRPr="00670A31" w:rsidRDefault="00E91F5F" w:rsidP="00DA062A">
            <w:pPr>
              <w:jc w:val="center"/>
            </w:pPr>
            <w:r>
              <w:t>.16</w:t>
            </w:r>
          </w:p>
        </w:tc>
        <w:tc>
          <w:tcPr>
            <w:tcW w:w="864" w:type="dxa"/>
            <w:vAlign w:val="center"/>
          </w:tcPr>
          <w:p w14:paraId="4E64C76D" w14:textId="77777777" w:rsidR="00E91F5F" w:rsidRPr="00670A31" w:rsidRDefault="00E91F5F" w:rsidP="00DA062A">
            <w:pPr>
              <w:jc w:val="center"/>
            </w:pPr>
            <w:r>
              <w:t>.37</w:t>
            </w:r>
          </w:p>
        </w:tc>
        <w:tc>
          <w:tcPr>
            <w:tcW w:w="864" w:type="dxa"/>
            <w:vAlign w:val="center"/>
          </w:tcPr>
          <w:p w14:paraId="0B437C50" w14:textId="77777777" w:rsidR="00E91F5F" w:rsidRPr="00670A31" w:rsidRDefault="00E91F5F" w:rsidP="00DA062A">
            <w:pPr>
              <w:jc w:val="center"/>
            </w:pPr>
            <w:r>
              <w:t>.15</w:t>
            </w:r>
          </w:p>
        </w:tc>
        <w:tc>
          <w:tcPr>
            <w:tcW w:w="864" w:type="dxa"/>
            <w:vAlign w:val="center"/>
          </w:tcPr>
          <w:p w14:paraId="3704C921" w14:textId="77777777" w:rsidR="00E91F5F" w:rsidRPr="00670A31" w:rsidRDefault="00E91F5F" w:rsidP="00DA062A">
            <w:pPr>
              <w:jc w:val="center"/>
            </w:pPr>
            <w:r>
              <w:t>.36</w:t>
            </w:r>
          </w:p>
        </w:tc>
        <w:tc>
          <w:tcPr>
            <w:tcW w:w="864" w:type="dxa"/>
            <w:vAlign w:val="center"/>
          </w:tcPr>
          <w:p w14:paraId="4DA4B614" w14:textId="77777777" w:rsidR="00E91F5F" w:rsidRPr="00670A31" w:rsidRDefault="00E91F5F" w:rsidP="00DA062A">
            <w:pPr>
              <w:jc w:val="center"/>
            </w:pPr>
            <w:r>
              <w:t>.14</w:t>
            </w:r>
          </w:p>
        </w:tc>
        <w:tc>
          <w:tcPr>
            <w:tcW w:w="864" w:type="dxa"/>
            <w:vAlign w:val="center"/>
          </w:tcPr>
          <w:p w14:paraId="42E9F4DB" w14:textId="77777777" w:rsidR="00E91F5F" w:rsidRPr="00670A31" w:rsidRDefault="00E91F5F" w:rsidP="00DA062A">
            <w:pPr>
              <w:jc w:val="center"/>
            </w:pPr>
            <w:r>
              <w:t>.35</w:t>
            </w:r>
          </w:p>
        </w:tc>
        <w:tc>
          <w:tcPr>
            <w:tcW w:w="864" w:type="dxa"/>
            <w:vAlign w:val="center"/>
          </w:tcPr>
          <w:p w14:paraId="24635C5D" w14:textId="77777777" w:rsidR="00E91F5F" w:rsidRPr="00670A31" w:rsidRDefault="00E91F5F" w:rsidP="00DA062A">
            <w:pPr>
              <w:jc w:val="center"/>
            </w:pPr>
            <w:r>
              <w:t>.10</w:t>
            </w:r>
          </w:p>
        </w:tc>
        <w:tc>
          <w:tcPr>
            <w:tcW w:w="864" w:type="dxa"/>
            <w:vAlign w:val="center"/>
          </w:tcPr>
          <w:p w14:paraId="12DB175B" w14:textId="77777777" w:rsidR="00E91F5F" w:rsidRPr="00670A31" w:rsidRDefault="00E91F5F" w:rsidP="00DA062A">
            <w:pPr>
              <w:jc w:val="center"/>
            </w:pPr>
            <w:r>
              <w:t>.30</w:t>
            </w:r>
          </w:p>
        </w:tc>
      </w:tr>
      <w:tr w:rsidR="00E91F5F" w14:paraId="5EBE0518" w14:textId="77777777" w:rsidTr="00DA062A">
        <w:trPr>
          <w:jc w:val="right"/>
        </w:trPr>
        <w:tc>
          <w:tcPr>
            <w:tcW w:w="6156" w:type="dxa"/>
          </w:tcPr>
          <w:p w14:paraId="15C9ABAC" w14:textId="77777777" w:rsidR="00E91F5F" w:rsidRDefault="00E91F5F" w:rsidP="00DA062A">
            <w:pPr>
              <w:spacing w:before="20" w:after="20"/>
              <w:rPr>
                <w:b/>
              </w:rPr>
            </w:pPr>
            <w:r>
              <w:rPr>
                <w:b/>
              </w:rPr>
              <w:t xml:space="preserve">     Physician – specialty missing</w:t>
            </w:r>
          </w:p>
        </w:tc>
        <w:tc>
          <w:tcPr>
            <w:tcW w:w="864" w:type="dxa"/>
            <w:vAlign w:val="center"/>
          </w:tcPr>
          <w:p w14:paraId="74CBB5E1" w14:textId="77777777" w:rsidR="00E91F5F" w:rsidRPr="00670A31" w:rsidRDefault="00E91F5F" w:rsidP="00DA062A">
            <w:pPr>
              <w:jc w:val="center"/>
            </w:pPr>
            <w:r>
              <w:t>.07</w:t>
            </w:r>
          </w:p>
        </w:tc>
        <w:tc>
          <w:tcPr>
            <w:tcW w:w="864" w:type="dxa"/>
            <w:vAlign w:val="center"/>
          </w:tcPr>
          <w:p w14:paraId="460D751F" w14:textId="77777777" w:rsidR="00E91F5F" w:rsidRPr="00670A31" w:rsidRDefault="00E91F5F" w:rsidP="00DA062A">
            <w:pPr>
              <w:jc w:val="center"/>
            </w:pPr>
            <w:r>
              <w:t>.25</w:t>
            </w:r>
          </w:p>
        </w:tc>
        <w:tc>
          <w:tcPr>
            <w:tcW w:w="864" w:type="dxa"/>
            <w:vAlign w:val="center"/>
          </w:tcPr>
          <w:p w14:paraId="0D52EDD2" w14:textId="77777777" w:rsidR="00E91F5F" w:rsidRPr="00670A31" w:rsidRDefault="00E91F5F" w:rsidP="00DA062A">
            <w:pPr>
              <w:jc w:val="center"/>
            </w:pPr>
            <w:r>
              <w:t>.07</w:t>
            </w:r>
          </w:p>
        </w:tc>
        <w:tc>
          <w:tcPr>
            <w:tcW w:w="864" w:type="dxa"/>
            <w:vAlign w:val="center"/>
          </w:tcPr>
          <w:p w14:paraId="417A56AC" w14:textId="77777777" w:rsidR="00E91F5F" w:rsidRPr="00670A31" w:rsidRDefault="00E91F5F" w:rsidP="00DA062A">
            <w:pPr>
              <w:jc w:val="center"/>
            </w:pPr>
            <w:r>
              <w:t>.26</w:t>
            </w:r>
          </w:p>
        </w:tc>
        <w:tc>
          <w:tcPr>
            <w:tcW w:w="864" w:type="dxa"/>
            <w:vAlign w:val="center"/>
          </w:tcPr>
          <w:p w14:paraId="0D5BE5F8" w14:textId="77777777" w:rsidR="00E91F5F" w:rsidRPr="00670A31" w:rsidRDefault="00E91F5F" w:rsidP="00DA062A">
            <w:pPr>
              <w:jc w:val="center"/>
            </w:pPr>
            <w:r>
              <w:t>.11</w:t>
            </w:r>
          </w:p>
        </w:tc>
        <w:tc>
          <w:tcPr>
            <w:tcW w:w="864" w:type="dxa"/>
            <w:vAlign w:val="center"/>
          </w:tcPr>
          <w:p w14:paraId="19921AA3" w14:textId="77777777" w:rsidR="00E91F5F" w:rsidRPr="00670A31" w:rsidRDefault="00E91F5F" w:rsidP="00DA062A">
            <w:pPr>
              <w:jc w:val="center"/>
            </w:pPr>
            <w:r>
              <w:t>.32</w:t>
            </w:r>
          </w:p>
        </w:tc>
        <w:tc>
          <w:tcPr>
            <w:tcW w:w="864" w:type="dxa"/>
            <w:vAlign w:val="center"/>
          </w:tcPr>
          <w:p w14:paraId="151493E4" w14:textId="77777777" w:rsidR="00E91F5F" w:rsidRPr="00670A31" w:rsidRDefault="00E91F5F" w:rsidP="00DA062A">
            <w:pPr>
              <w:jc w:val="center"/>
            </w:pPr>
            <w:r>
              <w:t>.11</w:t>
            </w:r>
          </w:p>
        </w:tc>
        <w:tc>
          <w:tcPr>
            <w:tcW w:w="864" w:type="dxa"/>
            <w:vAlign w:val="center"/>
          </w:tcPr>
          <w:p w14:paraId="517A5FE7" w14:textId="77777777" w:rsidR="00E91F5F" w:rsidRPr="00670A31" w:rsidRDefault="00E91F5F" w:rsidP="00DA062A">
            <w:pPr>
              <w:jc w:val="center"/>
            </w:pPr>
            <w:r>
              <w:t>.31</w:t>
            </w:r>
          </w:p>
        </w:tc>
      </w:tr>
      <w:tr w:rsidR="00E91F5F" w14:paraId="427E6DB8" w14:textId="77777777" w:rsidTr="00DA062A">
        <w:trPr>
          <w:jc w:val="right"/>
        </w:trPr>
        <w:tc>
          <w:tcPr>
            <w:tcW w:w="6156" w:type="dxa"/>
          </w:tcPr>
          <w:p w14:paraId="3AD6644D" w14:textId="77777777" w:rsidR="00E91F5F" w:rsidRPr="00B359EC" w:rsidRDefault="00E91F5F" w:rsidP="00DA062A">
            <w:pPr>
              <w:spacing w:before="20" w:after="20"/>
              <w:rPr>
                <w:b/>
              </w:rPr>
            </w:pPr>
            <w:r>
              <w:rPr>
                <w:b/>
              </w:rPr>
              <w:t xml:space="preserve">     NP/PA</w:t>
            </w:r>
          </w:p>
        </w:tc>
        <w:tc>
          <w:tcPr>
            <w:tcW w:w="864" w:type="dxa"/>
            <w:vAlign w:val="center"/>
          </w:tcPr>
          <w:p w14:paraId="4DD2BE1B" w14:textId="77777777" w:rsidR="00E91F5F" w:rsidRPr="00670A31" w:rsidRDefault="00CA55D3" w:rsidP="00DA062A">
            <w:pPr>
              <w:jc w:val="center"/>
            </w:pPr>
            <w:r>
              <w:t>-</w:t>
            </w:r>
          </w:p>
        </w:tc>
        <w:tc>
          <w:tcPr>
            <w:tcW w:w="864" w:type="dxa"/>
            <w:vAlign w:val="center"/>
          </w:tcPr>
          <w:p w14:paraId="28D3ED5F" w14:textId="77777777" w:rsidR="00E91F5F" w:rsidRPr="00670A31" w:rsidRDefault="00CA55D3" w:rsidP="00DA062A">
            <w:pPr>
              <w:jc w:val="center"/>
            </w:pPr>
            <w:r>
              <w:t>-</w:t>
            </w:r>
          </w:p>
        </w:tc>
        <w:tc>
          <w:tcPr>
            <w:tcW w:w="864" w:type="dxa"/>
            <w:vAlign w:val="center"/>
          </w:tcPr>
          <w:p w14:paraId="65462E00" w14:textId="77777777" w:rsidR="00E91F5F" w:rsidRPr="00670A31" w:rsidRDefault="00CA55D3" w:rsidP="00DA062A">
            <w:pPr>
              <w:jc w:val="center"/>
            </w:pPr>
            <w:r>
              <w:t>-</w:t>
            </w:r>
          </w:p>
        </w:tc>
        <w:tc>
          <w:tcPr>
            <w:tcW w:w="864" w:type="dxa"/>
            <w:vAlign w:val="center"/>
          </w:tcPr>
          <w:p w14:paraId="505FA3B2" w14:textId="77777777" w:rsidR="00E91F5F" w:rsidRPr="00670A31" w:rsidRDefault="00CA55D3" w:rsidP="00DA062A">
            <w:pPr>
              <w:jc w:val="center"/>
            </w:pPr>
            <w:r>
              <w:t>-</w:t>
            </w:r>
          </w:p>
        </w:tc>
        <w:tc>
          <w:tcPr>
            <w:tcW w:w="864" w:type="dxa"/>
            <w:vAlign w:val="center"/>
          </w:tcPr>
          <w:p w14:paraId="0017BA83" w14:textId="77777777" w:rsidR="00E91F5F" w:rsidRPr="00670A31" w:rsidRDefault="00CA55D3" w:rsidP="00DA062A">
            <w:pPr>
              <w:spacing w:before="20" w:after="20"/>
              <w:jc w:val="center"/>
            </w:pPr>
            <w:r>
              <w:t>-</w:t>
            </w:r>
          </w:p>
        </w:tc>
        <w:tc>
          <w:tcPr>
            <w:tcW w:w="864" w:type="dxa"/>
            <w:vAlign w:val="center"/>
          </w:tcPr>
          <w:p w14:paraId="295AD4B6" w14:textId="77777777" w:rsidR="00E91F5F" w:rsidRPr="00670A31" w:rsidRDefault="00CA55D3" w:rsidP="00DA062A">
            <w:pPr>
              <w:jc w:val="center"/>
            </w:pPr>
            <w:r>
              <w:t>-</w:t>
            </w:r>
          </w:p>
        </w:tc>
        <w:tc>
          <w:tcPr>
            <w:tcW w:w="864" w:type="dxa"/>
            <w:vAlign w:val="center"/>
          </w:tcPr>
          <w:p w14:paraId="1C9F0889" w14:textId="77777777" w:rsidR="00E91F5F" w:rsidRPr="00670A31" w:rsidRDefault="00E91F5F" w:rsidP="00DA062A">
            <w:pPr>
              <w:jc w:val="center"/>
            </w:pPr>
            <w:r>
              <w:t>.16</w:t>
            </w:r>
          </w:p>
        </w:tc>
        <w:tc>
          <w:tcPr>
            <w:tcW w:w="864" w:type="dxa"/>
            <w:vAlign w:val="center"/>
          </w:tcPr>
          <w:p w14:paraId="1C173CA6" w14:textId="77777777" w:rsidR="00E91F5F" w:rsidRPr="00670A31" w:rsidRDefault="00E91F5F" w:rsidP="00DA062A">
            <w:pPr>
              <w:jc w:val="center"/>
            </w:pPr>
            <w:r>
              <w:t>.37</w:t>
            </w:r>
          </w:p>
        </w:tc>
      </w:tr>
      <w:tr w:rsidR="00E91F5F" w14:paraId="69721702" w14:textId="77777777" w:rsidTr="00DA062A">
        <w:trPr>
          <w:jc w:val="right"/>
        </w:trPr>
        <w:tc>
          <w:tcPr>
            <w:tcW w:w="6156" w:type="dxa"/>
          </w:tcPr>
          <w:p w14:paraId="0743F547" w14:textId="77777777" w:rsidR="00E91F5F" w:rsidRPr="00B359EC" w:rsidRDefault="00E91F5F" w:rsidP="00DA062A">
            <w:pPr>
              <w:spacing w:before="20" w:after="20"/>
              <w:rPr>
                <w:b/>
              </w:rPr>
            </w:pPr>
          </w:p>
        </w:tc>
        <w:tc>
          <w:tcPr>
            <w:tcW w:w="864" w:type="dxa"/>
            <w:vAlign w:val="center"/>
          </w:tcPr>
          <w:p w14:paraId="55255891" w14:textId="77777777" w:rsidR="00E91F5F" w:rsidRPr="00670A31" w:rsidRDefault="00E91F5F" w:rsidP="00DA062A">
            <w:pPr>
              <w:jc w:val="center"/>
            </w:pPr>
          </w:p>
        </w:tc>
        <w:tc>
          <w:tcPr>
            <w:tcW w:w="864" w:type="dxa"/>
            <w:vAlign w:val="center"/>
          </w:tcPr>
          <w:p w14:paraId="14C3A039" w14:textId="77777777" w:rsidR="00E91F5F" w:rsidRPr="00670A31" w:rsidRDefault="00E91F5F" w:rsidP="00DA062A">
            <w:pPr>
              <w:jc w:val="center"/>
            </w:pPr>
          </w:p>
        </w:tc>
        <w:tc>
          <w:tcPr>
            <w:tcW w:w="864" w:type="dxa"/>
            <w:vAlign w:val="center"/>
          </w:tcPr>
          <w:p w14:paraId="2FE6739D" w14:textId="77777777" w:rsidR="00E91F5F" w:rsidRPr="00670A31" w:rsidRDefault="00E91F5F" w:rsidP="00DA062A">
            <w:pPr>
              <w:jc w:val="center"/>
            </w:pPr>
          </w:p>
        </w:tc>
        <w:tc>
          <w:tcPr>
            <w:tcW w:w="864" w:type="dxa"/>
            <w:vAlign w:val="center"/>
          </w:tcPr>
          <w:p w14:paraId="36EE1DC2" w14:textId="77777777" w:rsidR="00E91F5F" w:rsidRPr="00670A31" w:rsidRDefault="00E91F5F" w:rsidP="00DA062A">
            <w:pPr>
              <w:jc w:val="center"/>
            </w:pPr>
          </w:p>
        </w:tc>
        <w:tc>
          <w:tcPr>
            <w:tcW w:w="864" w:type="dxa"/>
            <w:vAlign w:val="center"/>
          </w:tcPr>
          <w:p w14:paraId="67F87F81" w14:textId="77777777" w:rsidR="00E91F5F" w:rsidRPr="00670A31" w:rsidRDefault="00E91F5F" w:rsidP="00DA062A">
            <w:pPr>
              <w:spacing w:before="20" w:after="20"/>
              <w:jc w:val="center"/>
            </w:pPr>
          </w:p>
        </w:tc>
        <w:tc>
          <w:tcPr>
            <w:tcW w:w="864" w:type="dxa"/>
            <w:vAlign w:val="center"/>
          </w:tcPr>
          <w:p w14:paraId="43406482" w14:textId="77777777" w:rsidR="00E91F5F" w:rsidRPr="00670A31" w:rsidRDefault="00E91F5F" w:rsidP="00DA062A">
            <w:pPr>
              <w:jc w:val="center"/>
            </w:pPr>
          </w:p>
        </w:tc>
        <w:tc>
          <w:tcPr>
            <w:tcW w:w="864" w:type="dxa"/>
            <w:vAlign w:val="center"/>
          </w:tcPr>
          <w:p w14:paraId="185CB79B" w14:textId="77777777" w:rsidR="00E91F5F" w:rsidRPr="00670A31" w:rsidRDefault="00E91F5F" w:rsidP="00DA062A">
            <w:pPr>
              <w:jc w:val="center"/>
            </w:pPr>
          </w:p>
        </w:tc>
        <w:tc>
          <w:tcPr>
            <w:tcW w:w="864" w:type="dxa"/>
            <w:vAlign w:val="center"/>
          </w:tcPr>
          <w:p w14:paraId="37FC69C2" w14:textId="77777777" w:rsidR="00E91F5F" w:rsidRPr="00670A31" w:rsidRDefault="00E91F5F" w:rsidP="00DA062A">
            <w:pPr>
              <w:jc w:val="center"/>
            </w:pPr>
          </w:p>
        </w:tc>
      </w:tr>
      <w:tr w:rsidR="00E91F5F" w14:paraId="42746344" w14:textId="77777777" w:rsidTr="00DA062A">
        <w:trPr>
          <w:jc w:val="right"/>
        </w:trPr>
        <w:tc>
          <w:tcPr>
            <w:tcW w:w="6156" w:type="dxa"/>
          </w:tcPr>
          <w:p w14:paraId="58E99845" w14:textId="77777777" w:rsidR="00E91F5F" w:rsidRPr="00B359EC" w:rsidRDefault="00E91F5F" w:rsidP="00DA062A">
            <w:pPr>
              <w:spacing w:before="20" w:after="20"/>
              <w:rPr>
                <w:b/>
              </w:rPr>
            </w:pPr>
            <w:r w:rsidRPr="00B359EC">
              <w:rPr>
                <w:b/>
              </w:rPr>
              <w:t>N</w:t>
            </w:r>
          </w:p>
        </w:tc>
        <w:tc>
          <w:tcPr>
            <w:tcW w:w="864" w:type="dxa"/>
            <w:vAlign w:val="center"/>
          </w:tcPr>
          <w:p w14:paraId="1483622A" w14:textId="77777777" w:rsidR="00E91F5F" w:rsidRDefault="00E91F5F" w:rsidP="00DA062A">
            <w:pPr>
              <w:jc w:val="center"/>
            </w:pPr>
            <w:r>
              <w:t>499</w:t>
            </w:r>
          </w:p>
        </w:tc>
        <w:tc>
          <w:tcPr>
            <w:tcW w:w="864" w:type="dxa"/>
            <w:vAlign w:val="center"/>
          </w:tcPr>
          <w:p w14:paraId="0F59A999" w14:textId="77777777" w:rsidR="00E91F5F" w:rsidRDefault="00E91F5F" w:rsidP="00DA062A">
            <w:pPr>
              <w:jc w:val="center"/>
            </w:pPr>
          </w:p>
        </w:tc>
        <w:tc>
          <w:tcPr>
            <w:tcW w:w="864" w:type="dxa"/>
            <w:vAlign w:val="center"/>
          </w:tcPr>
          <w:p w14:paraId="7DCBF8DE" w14:textId="77777777" w:rsidR="00E91F5F" w:rsidRDefault="00E91F5F" w:rsidP="00DA062A">
            <w:pPr>
              <w:jc w:val="center"/>
            </w:pPr>
            <w:r>
              <w:t>465</w:t>
            </w:r>
          </w:p>
        </w:tc>
        <w:tc>
          <w:tcPr>
            <w:tcW w:w="864" w:type="dxa"/>
            <w:vAlign w:val="center"/>
          </w:tcPr>
          <w:p w14:paraId="151755E3" w14:textId="77777777" w:rsidR="00E91F5F" w:rsidRDefault="00E91F5F" w:rsidP="00DA062A">
            <w:pPr>
              <w:jc w:val="center"/>
            </w:pPr>
          </w:p>
        </w:tc>
        <w:tc>
          <w:tcPr>
            <w:tcW w:w="864" w:type="dxa"/>
            <w:vAlign w:val="center"/>
          </w:tcPr>
          <w:p w14:paraId="3B46950C" w14:textId="77777777" w:rsidR="00E91F5F" w:rsidRPr="00B359EC" w:rsidRDefault="00E91F5F" w:rsidP="00DA062A">
            <w:pPr>
              <w:spacing w:before="20" w:after="20"/>
              <w:jc w:val="center"/>
              <w:rPr>
                <w:b/>
              </w:rPr>
            </w:pPr>
            <w:r>
              <w:t>468</w:t>
            </w:r>
          </w:p>
        </w:tc>
        <w:tc>
          <w:tcPr>
            <w:tcW w:w="864" w:type="dxa"/>
            <w:vAlign w:val="center"/>
          </w:tcPr>
          <w:p w14:paraId="1DD0ADF3" w14:textId="77777777" w:rsidR="00E91F5F" w:rsidRDefault="00E91F5F" w:rsidP="00DA062A">
            <w:pPr>
              <w:jc w:val="center"/>
            </w:pPr>
          </w:p>
        </w:tc>
        <w:tc>
          <w:tcPr>
            <w:tcW w:w="864" w:type="dxa"/>
            <w:vAlign w:val="center"/>
          </w:tcPr>
          <w:p w14:paraId="69AE0CC8" w14:textId="77777777" w:rsidR="00E91F5F" w:rsidRDefault="00E91F5F" w:rsidP="00DA062A">
            <w:pPr>
              <w:jc w:val="center"/>
            </w:pPr>
            <w:r>
              <w:t>560</w:t>
            </w:r>
          </w:p>
        </w:tc>
        <w:tc>
          <w:tcPr>
            <w:tcW w:w="864" w:type="dxa"/>
          </w:tcPr>
          <w:p w14:paraId="552D35C3" w14:textId="77777777" w:rsidR="00E91F5F" w:rsidRPr="00B359EC" w:rsidRDefault="00E91F5F" w:rsidP="00DA062A">
            <w:pPr>
              <w:spacing w:before="20" w:after="20"/>
              <w:rPr>
                <w:b/>
              </w:rPr>
            </w:pPr>
          </w:p>
        </w:tc>
      </w:tr>
    </w:tbl>
    <w:p w14:paraId="0610F0FD" w14:textId="77777777" w:rsidR="00E91F5F" w:rsidRDefault="00E91F5F" w:rsidP="00E91F5F">
      <w:pPr>
        <w:spacing w:before="120" w:after="0"/>
        <w:ind w:left="720" w:hanging="720"/>
      </w:pPr>
      <w:r w:rsidRPr="00212206">
        <w:t>Notes:</w:t>
      </w:r>
      <w:r>
        <w:tab/>
        <w:t>1. The pool of prescribers who are potential adopters of the 275-patient waiver is all prescribers waivered for 100 patients in the year prior to the column year who had at least one MOUD patient in that year.</w:t>
      </w:r>
    </w:p>
    <w:p w14:paraId="52F9BFC0" w14:textId="77777777" w:rsidR="00E91F5F" w:rsidRDefault="00E91F5F" w:rsidP="00E91F5F">
      <w:pPr>
        <w:spacing w:after="0"/>
        <w:ind w:firstLine="720"/>
      </w:pPr>
      <w:r>
        <w:t xml:space="preserve">2. </w:t>
      </w:r>
      <w:r w:rsidR="008452F8">
        <w:t>Values are f</w:t>
      </w:r>
      <w:r>
        <w:t>or the year prior to the column year.</w:t>
      </w:r>
    </w:p>
    <w:p w14:paraId="523DF82C" w14:textId="77777777" w:rsidR="00E91F5F" w:rsidRDefault="00E91F5F" w:rsidP="00E91F5F">
      <w:pPr>
        <w:spacing w:after="0"/>
      </w:pPr>
      <w:r>
        <w:tab/>
        <w:t>3. Medicaid data were not available for 2015.</w:t>
      </w:r>
    </w:p>
    <w:p w14:paraId="2E669E81" w14:textId="77777777" w:rsidR="00E91F5F" w:rsidRDefault="00E91F5F" w:rsidP="00E91F5F">
      <w:pPr>
        <w:spacing w:after="0"/>
      </w:pPr>
      <w:r>
        <w:tab/>
        <w:t>4. Indicator (0, 1) variables.</w:t>
      </w:r>
    </w:p>
    <w:p w14:paraId="31DB91A2" w14:textId="77777777" w:rsidR="00E91F5F" w:rsidRDefault="00E91F5F" w:rsidP="00E91F5F"/>
    <w:p w14:paraId="4F6EB45D" w14:textId="77777777" w:rsidR="00E91F5F" w:rsidRDefault="00E91F5F" w:rsidP="00E91F5F"/>
    <w:p w14:paraId="650A3CAF" w14:textId="77777777" w:rsidR="00E91F5F" w:rsidRPr="00212206" w:rsidRDefault="00E91F5F" w:rsidP="00E91F5F">
      <w:r w:rsidRPr="00212206">
        <w:br w:type="page"/>
      </w:r>
    </w:p>
    <w:p w14:paraId="54C6EACD" w14:textId="77777777" w:rsidR="00E91F5F" w:rsidRDefault="00E91F5F" w:rsidP="00BC5069">
      <w:pPr>
        <w:spacing w:after="120"/>
        <w:rPr>
          <w:b/>
        </w:rPr>
      </w:pPr>
      <w:r>
        <w:rPr>
          <w:b/>
        </w:rPr>
        <w:lastRenderedPageBreak/>
        <w:t xml:space="preserve">Table </w:t>
      </w:r>
      <w:r w:rsidR="008C2357">
        <w:rPr>
          <w:b/>
        </w:rPr>
        <w:t>IV.</w:t>
      </w:r>
      <w:r w:rsidR="00BE1391">
        <w:rPr>
          <w:b/>
        </w:rPr>
        <w:t>4</w:t>
      </w:r>
      <w:r w:rsidR="005B1735">
        <w:rPr>
          <w:b/>
        </w:rPr>
        <w:t>a and IV.</w:t>
      </w:r>
      <w:r w:rsidR="00BE1391">
        <w:rPr>
          <w:b/>
        </w:rPr>
        <w:t>4</w:t>
      </w:r>
      <w:r w:rsidR="005B1735">
        <w:rPr>
          <w:b/>
        </w:rPr>
        <w:t>b</w:t>
      </w:r>
      <w:r>
        <w:rPr>
          <w:b/>
        </w:rPr>
        <w:t>: Logistic regressions on b</w:t>
      </w:r>
      <w:r w:rsidRPr="00A30A01">
        <w:rPr>
          <w:b/>
        </w:rPr>
        <w:t>ecoming waivered for 275 patients</w:t>
      </w:r>
      <w:r>
        <w:rPr>
          <w:b/>
        </w:rPr>
        <w:t xml:space="preserve"> in Massachusetts, for each year 2016 – 2019</w:t>
      </w:r>
    </w:p>
    <w:p w14:paraId="6E2AA385" w14:textId="77777777" w:rsidR="00E91F5F" w:rsidRPr="00B359EC" w:rsidRDefault="005B1735" w:rsidP="00E91F5F">
      <w:pPr>
        <w:spacing w:after="0" w:line="240" w:lineRule="auto"/>
        <w:rPr>
          <w:b/>
        </w:rPr>
      </w:pPr>
      <w:r>
        <w:rPr>
          <w:b/>
        </w:rPr>
        <w:t>IV.</w:t>
      </w:r>
      <w:r w:rsidR="00BE1391">
        <w:rPr>
          <w:b/>
        </w:rPr>
        <w:t>4</w:t>
      </w:r>
      <w:r>
        <w:rPr>
          <w:b/>
        </w:rPr>
        <w:t xml:space="preserve">a: </w:t>
      </w:r>
      <w:r w:rsidR="00E91F5F" w:rsidRPr="00B359EC">
        <w:rPr>
          <w:b/>
        </w:rPr>
        <w:t xml:space="preserve">Dependent variable: </w:t>
      </w:r>
    </w:p>
    <w:p w14:paraId="74D0187A" w14:textId="77777777" w:rsidR="00E91F5F" w:rsidRPr="00B359EC" w:rsidRDefault="00BC5069" w:rsidP="00E91F5F">
      <w:pPr>
        <w:spacing w:after="0"/>
        <w:rPr>
          <w:b/>
        </w:rPr>
      </w:pPr>
      <w:r>
        <w:rPr>
          <w:b/>
        </w:rPr>
        <w:t>Becoming waivered f</w:t>
      </w:r>
      <w:r w:rsidR="00E91F5F" w:rsidRPr="00B359EC">
        <w:rPr>
          <w:b/>
        </w:rPr>
        <w:t>or 275 patients in:</w:t>
      </w:r>
      <w:r w:rsidR="00E91F5F" w:rsidRPr="00B359EC">
        <w:rPr>
          <w:b/>
        </w:rPr>
        <w:tab/>
        <w:t xml:space="preserve">  </w:t>
      </w:r>
      <w:r w:rsidR="00E91F5F">
        <w:rPr>
          <w:b/>
        </w:rPr>
        <w:t xml:space="preserve">            </w:t>
      </w:r>
      <w:r w:rsidR="00E91F5F" w:rsidRPr="00B359EC">
        <w:rPr>
          <w:b/>
        </w:rPr>
        <w:t>2016</w:t>
      </w:r>
      <w:r w:rsidR="00E91F5F" w:rsidRPr="00B359EC">
        <w:rPr>
          <w:b/>
        </w:rPr>
        <w:tab/>
        <w:t xml:space="preserve"> </w:t>
      </w:r>
      <w:r w:rsidR="00E91F5F">
        <w:rPr>
          <w:b/>
        </w:rPr>
        <w:t xml:space="preserve">      </w:t>
      </w:r>
      <w:r w:rsidR="00E91F5F" w:rsidRPr="00B359EC">
        <w:rPr>
          <w:b/>
        </w:rPr>
        <w:t xml:space="preserve">        </w:t>
      </w:r>
      <w:r w:rsidR="00E91F5F">
        <w:rPr>
          <w:b/>
        </w:rPr>
        <w:t xml:space="preserve">                  </w:t>
      </w:r>
      <w:r w:rsidR="00E91F5F" w:rsidRPr="00B359EC">
        <w:rPr>
          <w:b/>
        </w:rPr>
        <w:t>2017</w:t>
      </w:r>
      <w:r w:rsidR="00E91F5F" w:rsidRPr="00B359EC">
        <w:rPr>
          <w:b/>
        </w:rPr>
        <w:tab/>
        <w:t xml:space="preserve">     </w:t>
      </w:r>
      <w:r w:rsidR="00E91F5F" w:rsidRPr="00B359EC">
        <w:rPr>
          <w:b/>
        </w:rPr>
        <w:tab/>
        <w:t xml:space="preserve">  </w:t>
      </w:r>
      <w:r w:rsidR="00E91F5F">
        <w:rPr>
          <w:b/>
        </w:rPr>
        <w:t xml:space="preserve">                      </w:t>
      </w:r>
      <w:r w:rsidR="00E91F5F" w:rsidRPr="00B359EC">
        <w:rPr>
          <w:b/>
        </w:rPr>
        <w:t xml:space="preserve">2018    </w:t>
      </w:r>
      <w:r w:rsidR="00E91F5F">
        <w:rPr>
          <w:b/>
        </w:rPr>
        <w:tab/>
      </w:r>
      <w:r w:rsidR="00E91F5F" w:rsidRPr="00B359EC">
        <w:rPr>
          <w:b/>
        </w:rPr>
        <w:t xml:space="preserve"> </w:t>
      </w:r>
      <w:r w:rsidR="00E91F5F">
        <w:rPr>
          <w:b/>
        </w:rPr>
        <w:t xml:space="preserve">   </w:t>
      </w:r>
      <w:r w:rsidR="00E91F5F">
        <w:rPr>
          <w:b/>
        </w:rPr>
        <w:tab/>
        <w:t xml:space="preserve">    </w:t>
      </w:r>
      <w:r w:rsidR="00E91F5F" w:rsidRPr="00B359EC">
        <w:rPr>
          <w:b/>
        </w:rPr>
        <w:t>2019 (1</w:t>
      </w:r>
      <w:r w:rsidR="00E91F5F" w:rsidRPr="00B359EC">
        <w:rPr>
          <w:b/>
          <w:vertAlign w:val="superscript"/>
        </w:rPr>
        <w:t>st</w:t>
      </w:r>
      <w:r w:rsidR="00E91F5F" w:rsidRPr="00B359EC">
        <w:rPr>
          <w:b/>
        </w:rPr>
        <w:t xml:space="preserve"> 8 months)</w:t>
      </w:r>
    </w:p>
    <w:tbl>
      <w:tblPr>
        <w:tblStyle w:val="TableGrid"/>
        <w:tblW w:w="13158" w:type="dxa"/>
        <w:tblLayout w:type="fixed"/>
        <w:tblLook w:val="04A0" w:firstRow="1" w:lastRow="0" w:firstColumn="1" w:lastColumn="0" w:noHBand="0" w:noVBand="1"/>
      </w:tblPr>
      <w:tblGrid>
        <w:gridCol w:w="3530"/>
        <w:gridCol w:w="2407"/>
        <w:gridCol w:w="2407"/>
        <w:gridCol w:w="2407"/>
        <w:gridCol w:w="2407"/>
      </w:tblGrid>
      <w:tr w:rsidR="00E91F5F" w14:paraId="56F491D6" w14:textId="77777777" w:rsidTr="005B1735">
        <w:tc>
          <w:tcPr>
            <w:tcW w:w="3530" w:type="dxa"/>
          </w:tcPr>
          <w:p w14:paraId="6E480790" w14:textId="77777777" w:rsidR="00E91F5F" w:rsidRPr="00B359EC" w:rsidRDefault="00E91F5F" w:rsidP="00DA062A">
            <w:pPr>
              <w:spacing w:before="20" w:after="20"/>
              <w:rPr>
                <w:b/>
              </w:rPr>
            </w:pPr>
            <w:r w:rsidRPr="00B359EC">
              <w:rPr>
                <w:b/>
              </w:rPr>
              <w:t>Predictors</w:t>
            </w:r>
            <w:r w:rsidRPr="00AB471E">
              <w:rPr>
                <w:b/>
                <w:vertAlign w:val="superscript"/>
              </w:rPr>
              <w:t>1</w:t>
            </w:r>
            <w:r>
              <w:rPr>
                <w:b/>
                <w:vertAlign w:val="superscript"/>
              </w:rPr>
              <w:t>,2</w:t>
            </w:r>
            <w:r w:rsidRPr="00B359EC">
              <w:rPr>
                <w:b/>
              </w:rPr>
              <w:t>:</w:t>
            </w:r>
          </w:p>
        </w:tc>
        <w:tc>
          <w:tcPr>
            <w:tcW w:w="2407" w:type="dxa"/>
            <w:vAlign w:val="center"/>
          </w:tcPr>
          <w:p w14:paraId="5C571A45" w14:textId="77777777" w:rsidR="00E91F5F" w:rsidRPr="00B359EC" w:rsidRDefault="00E91F5F" w:rsidP="00DA062A">
            <w:pPr>
              <w:jc w:val="center"/>
              <w:rPr>
                <w:b/>
              </w:rPr>
            </w:pPr>
            <w:r>
              <w:rPr>
                <w:b/>
              </w:rPr>
              <w:t>OR (95% CI)</w:t>
            </w:r>
          </w:p>
        </w:tc>
        <w:tc>
          <w:tcPr>
            <w:tcW w:w="2407" w:type="dxa"/>
            <w:vAlign w:val="center"/>
          </w:tcPr>
          <w:p w14:paraId="1497A5C1" w14:textId="77777777" w:rsidR="00E91F5F" w:rsidRPr="00B359EC" w:rsidRDefault="00E91F5F" w:rsidP="00DA062A">
            <w:pPr>
              <w:jc w:val="center"/>
              <w:rPr>
                <w:b/>
              </w:rPr>
            </w:pPr>
            <w:r>
              <w:rPr>
                <w:b/>
              </w:rPr>
              <w:t>OR (95% CI)</w:t>
            </w:r>
          </w:p>
        </w:tc>
        <w:tc>
          <w:tcPr>
            <w:tcW w:w="2407" w:type="dxa"/>
            <w:vAlign w:val="center"/>
          </w:tcPr>
          <w:p w14:paraId="18BEAB0B" w14:textId="77777777" w:rsidR="00E91F5F" w:rsidRPr="00B359EC" w:rsidRDefault="00E91F5F" w:rsidP="00DA062A">
            <w:pPr>
              <w:jc w:val="center"/>
              <w:rPr>
                <w:b/>
              </w:rPr>
            </w:pPr>
            <w:r>
              <w:rPr>
                <w:b/>
              </w:rPr>
              <w:t>OR (95% CI)</w:t>
            </w:r>
          </w:p>
        </w:tc>
        <w:tc>
          <w:tcPr>
            <w:tcW w:w="2407" w:type="dxa"/>
            <w:vAlign w:val="center"/>
          </w:tcPr>
          <w:p w14:paraId="65B474E0" w14:textId="77777777" w:rsidR="00E91F5F" w:rsidRPr="00B359EC" w:rsidRDefault="00E91F5F" w:rsidP="00DA062A">
            <w:pPr>
              <w:jc w:val="center"/>
              <w:rPr>
                <w:b/>
              </w:rPr>
            </w:pPr>
            <w:r>
              <w:rPr>
                <w:b/>
              </w:rPr>
              <w:t>OR (95% CI)</w:t>
            </w:r>
          </w:p>
        </w:tc>
      </w:tr>
      <w:tr w:rsidR="00E91F5F" w14:paraId="6D7AFA05" w14:textId="77777777" w:rsidTr="005B1735">
        <w:tc>
          <w:tcPr>
            <w:tcW w:w="3530" w:type="dxa"/>
          </w:tcPr>
          <w:p w14:paraId="7F8B9E1F" w14:textId="77777777" w:rsidR="00E91F5F" w:rsidRPr="00B359EC" w:rsidRDefault="00E91F5F" w:rsidP="00DA062A">
            <w:pPr>
              <w:spacing w:before="20" w:after="20"/>
              <w:rPr>
                <w:b/>
              </w:rPr>
            </w:pPr>
            <w:r w:rsidRPr="00B359EC">
              <w:rPr>
                <w:b/>
              </w:rPr>
              <w:t>Median monthly active patients</w:t>
            </w:r>
          </w:p>
        </w:tc>
        <w:tc>
          <w:tcPr>
            <w:tcW w:w="2407" w:type="dxa"/>
            <w:vAlign w:val="center"/>
          </w:tcPr>
          <w:p w14:paraId="2A3E143B" w14:textId="77777777" w:rsidR="00E91F5F" w:rsidRPr="00EF34DF" w:rsidRDefault="00E91F5F" w:rsidP="00DA062A">
            <w:pPr>
              <w:jc w:val="center"/>
              <w:rPr>
                <w:b/>
              </w:rPr>
            </w:pPr>
            <w:r w:rsidRPr="00EF34DF">
              <w:rPr>
                <w:b/>
              </w:rPr>
              <w:t>1.044 (1.031, 1.058)</w:t>
            </w:r>
            <w:r w:rsidRPr="00456FE6">
              <w:rPr>
                <w:b/>
                <w:vertAlign w:val="superscript"/>
              </w:rPr>
              <w:t>3</w:t>
            </w:r>
          </w:p>
        </w:tc>
        <w:tc>
          <w:tcPr>
            <w:tcW w:w="2407" w:type="dxa"/>
            <w:vAlign w:val="center"/>
          </w:tcPr>
          <w:p w14:paraId="2A9AF6C6" w14:textId="77777777" w:rsidR="00E91F5F" w:rsidRPr="00EF34DF" w:rsidRDefault="00E91F5F" w:rsidP="00DA062A">
            <w:pPr>
              <w:jc w:val="center"/>
              <w:rPr>
                <w:b/>
              </w:rPr>
            </w:pPr>
            <w:r w:rsidRPr="00EF34DF">
              <w:rPr>
                <w:b/>
              </w:rPr>
              <w:t>1.045 (1.027, 1.063)</w:t>
            </w:r>
          </w:p>
        </w:tc>
        <w:tc>
          <w:tcPr>
            <w:tcW w:w="2407" w:type="dxa"/>
            <w:vAlign w:val="center"/>
          </w:tcPr>
          <w:p w14:paraId="15F9CD85" w14:textId="77777777" w:rsidR="00E91F5F" w:rsidRPr="00A45CF6" w:rsidRDefault="00E91F5F" w:rsidP="00DA062A">
            <w:pPr>
              <w:jc w:val="center"/>
              <w:rPr>
                <w:b/>
              </w:rPr>
            </w:pPr>
            <w:r w:rsidRPr="00A45CF6">
              <w:rPr>
                <w:b/>
              </w:rPr>
              <w:t>1.042 (1.020, 1.064)</w:t>
            </w:r>
          </w:p>
        </w:tc>
        <w:tc>
          <w:tcPr>
            <w:tcW w:w="2407" w:type="dxa"/>
            <w:vAlign w:val="center"/>
          </w:tcPr>
          <w:p w14:paraId="2B4E14A6" w14:textId="77777777" w:rsidR="00E91F5F" w:rsidRDefault="00E91F5F" w:rsidP="00DA062A">
            <w:pPr>
              <w:jc w:val="center"/>
            </w:pPr>
            <w:r>
              <w:t>1.018 (.996, 1.040)</w:t>
            </w:r>
          </w:p>
        </w:tc>
      </w:tr>
      <w:tr w:rsidR="00E91F5F" w14:paraId="65B878BB" w14:textId="77777777" w:rsidTr="005B1735">
        <w:tc>
          <w:tcPr>
            <w:tcW w:w="3530" w:type="dxa"/>
          </w:tcPr>
          <w:p w14:paraId="21D68A3A" w14:textId="77777777" w:rsidR="00E91F5F" w:rsidRPr="00B359EC" w:rsidRDefault="00E91F5F" w:rsidP="00DA062A">
            <w:pPr>
              <w:spacing w:before="20" w:after="20"/>
              <w:rPr>
                <w:b/>
              </w:rPr>
            </w:pPr>
            <w:r w:rsidRPr="00B359EC">
              <w:rPr>
                <w:b/>
              </w:rPr>
              <w:t>Degree (no. of shared-patient ties of at least 10 patients</w:t>
            </w:r>
            <w:r>
              <w:rPr>
                <w:b/>
              </w:rPr>
              <w:t>)</w:t>
            </w:r>
          </w:p>
        </w:tc>
        <w:tc>
          <w:tcPr>
            <w:tcW w:w="2407" w:type="dxa"/>
            <w:vAlign w:val="center"/>
          </w:tcPr>
          <w:p w14:paraId="3E81A903" w14:textId="77777777" w:rsidR="00E91F5F" w:rsidRPr="00EF34DF" w:rsidRDefault="00E91F5F" w:rsidP="00DA062A">
            <w:pPr>
              <w:jc w:val="center"/>
              <w:rPr>
                <w:b/>
              </w:rPr>
            </w:pPr>
            <w:r w:rsidRPr="00EF34DF">
              <w:rPr>
                <w:b/>
              </w:rPr>
              <w:t>.717 (.595, .864)</w:t>
            </w:r>
          </w:p>
        </w:tc>
        <w:tc>
          <w:tcPr>
            <w:tcW w:w="2407" w:type="dxa"/>
            <w:vAlign w:val="center"/>
          </w:tcPr>
          <w:p w14:paraId="0F3DBF0B" w14:textId="77777777" w:rsidR="00E91F5F" w:rsidRDefault="00E91F5F" w:rsidP="00DA062A">
            <w:pPr>
              <w:jc w:val="center"/>
            </w:pPr>
            <w:r>
              <w:t>.901 (.767, 1.058)</w:t>
            </w:r>
          </w:p>
        </w:tc>
        <w:tc>
          <w:tcPr>
            <w:tcW w:w="2407" w:type="dxa"/>
            <w:vAlign w:val="center"/>
          </w:tcPr>
          <w:p w14:paraId="4ED6D280" w14:textId="77777777" w:rsidR="00E91F5F" w:rsidRPr="00A45CF6" w:rsidRDefault="00E91F5F" w:rsidP="00DA062A">
            <w:pPr>
              <w:jc w:val="center"/>
              <w:rPr>
                <w:b/>
              </w:rPr>
            </w:pPr>
            <w:r w:rsidRPr="00A45CF6">
              <w:rPr>
                <w:b/>
              </w:rPr>
              <w:t>1.203 (1.010, 1.432)</w:t>
            </w:r>
          </w:p>
        </w:tc>
        <w:tc>
          <w:tcPr>
            <w:tcW w:w="2407" w:type="dxa"/>
            <w:vAlign w:val="center"/>
          </w:tcPr>
          <w:p w14:paraId="2256599C" w14:textId="77777777" w:rsidR="00E91F5F" w:rsidRPr="002D758E" w:rsidRDefault="00E91F5F" w:rsidP="00DA062A">
            <w:pPr>
              <w:jc w:val="center"/>
              <w:rPr>
                <w:b/>
              </w:rPr>
            </w:pPr>
            <w:r w:rsidRPr="002D758E">
              <w:rPr>
                <w:b/>
              </w:rPr>
              <w:t>1.2</w:t>
            </w:r>
            <w:r>
              <w:rPr>
                <w:b/>
              </w:rPr>
              <w:t>14</w:t>
            </w:r>
            <w:r w:rsidRPr="002D758E">
              <w:rPr>
                <w:b/>
              </w:rPr>
              <w:t xml:space="preserve"> (1.03</w:t>
            </w:r>
            <w:r>
              <w:rPr>
                <w:b/>
              </w:rPr>
              <w:t>8</w:t>
            </w:r>
            <w:r w:rsidRPr="002D758E">
              <w:rPr>
                <w:b/>
              </w:rPr>
              <w:t>, 1.4</w:t>
            </w:r>
            <w:r>
              <w:rPr>
                <w:b/>
              </w:rPr>
              <w:t>21</w:t>
            </w:r>
            <w:r w:rsidRPr="002D758E">
              <w:rPr>
                <w:b/>
              </w:rPr>
              <w:t>)</w:t>
            </w:r>
          </w:p>
        </w:tc>
      </w:tr>
      <w:tr w:rsidR="00E91F5F" w14:paraId="5D2A9D49" w14:textId="77777777" w:rsidTr="005B1735">
        <w:tc>
          <w:tcPr>
            <w:tcW w:w="3530" w:type="dxa"/>
          </w:tcPr>
          <w:p w14:paraId="70FC8D93" w14:textId="77777777" w:rsidR="00E91F5F" w:rsidRPr="00B359EC" w:rsidRDefault="00E91F5F" w:rsidP="00DA062A">
            <w:pPr>
              <w:spacing w:before="20" w:after="20"/>
              <w:rPr>
                <w:b/>
              </w:rPr>
            </w:pPr>
            <w:r w:rsidRPr="00B359EC">
              <w:rPr>
                <w:b/>
              </w:rPr>
              <w:t>Percent of patients on Medicaid</w:t>
            </w:r>
          </w:p>
        </w:tc>
        <w:tc>
          <w:tcPr>
            <w:tcW w:w="2407" w:type="dxa"/>
            <w:vAlign w:val="center"/>
          </w:tcPr>
          <w:p w14:paraId="23D032F8" w14:textId="77777777" w:rsidR="00E91F5F" w:rsidRDefault="00E91F5F" w:rsidP="00DA062A">
            <w:pPr>
              <w:jc w:val="center"/>
            </w:pPr>
            <w:r>
              <w:t>-</w:t>
            </w:r>
            <w:r w:rsidRPr="00874849">
              <w:rPr>
                <w:vertAlign w:val="superscript"/>
              </w:rPr>
              <w:t>4</w:t>
            </w:r>
          </w:p>
        </w:tc>
        <w:tc>
          <w:tcPr>
            <w:tcW w:w="2407" w:type="dxa"/>
            <w:vAlign w:val="center"/>
          </w:tcPr>
          <w:p w14:paraId="05402399" w14:textId="77777777" w:rsidR="00E91F5F" w:rsidRDefault="00E91F5F" w:rsidP="00DA062A">
            <w:pPr>
              <w:jc w:val="center"/>
            </w:pPr>
            <w:r>
              <w:t>1.017 (.997, 1.036)</w:t>
            </w:r>
          </w:p>
        </w:tc>
        <w:tc>
          <w:tcPr>
            <w:tcW w:w="2407" w:type="dxa"/>
            <w:vAlign w:val="center"/>
          </w:tcPr>
          <w:p w14:paraId="08A24D59" w14:textId="77777777" w:rsidR="00E91F5F" w:rsidRDefault="00E91F5F" w:rsidP="00DA062A">
            <w:pPr>
              <w:jc w:val="center"/>
            </w:pPr>
            <w:r>
              <w:t>1.002 (.981, 1.023)</w:t>
            </w:r>
          </w:p>
        </w:tc>
        <w:tc>
          <w:tcPr>
            <w:tcW w:w="2407" w:type="dxa"/>
            <w:vAlign w:val="center"/>
          </w:tcPr>
          <w:p w14:paraId="557DFB9D" w14:textId="77777777" w:rsidR="00E91F5F" w:rsidRDefault="00E91F5F" w:rsidP="00DA062A">
            <w:pPr>
              <w:jc w:val="center"/>
            </w:pPr>
            <w:r>
              <w:t>1.008 (.989, 1.026)</w:t>
            </w:r>
          </w:p>
        </w:tc>
      </w:tr>
      <w:tr w:rsidR="00E91F5F" w14:paraId="28C370C5" w14:textId="77777777" w:rsidTr="005B1735">
        <w:tc>
          <w:tcPr>
            <w:tcW w:w="3530" w:type="dxa"/>
          </w:tcPr>
          <w:p w14:paraId="46E0DEE6" w14:textId="77777777" w:rsidR="00E91F5F" w:rsidRPr="00B359EC" w:rsidRDefault="00E91F5F" w:rsidP="00DA062A">
            <w:pPr>
              <w:spacing w:before="20" w:after="20"/>
              <w:rPr>
                <w:b/>
              </w:rPr>
            </w:pPr>
            <w:r w:rsidRPr="00B359EC">
              <w:rPr>
                <w:b/>
              </w:rPr>
              <w:t xml:space="preserve">Years waivered for 100 patients </w:t>
            </w:r>
          </w:p>
        </w:tc>
        <w:tc>
          <w:tcPr>
            <w:tcW w:w="2407" w:type="dxa"/>
            <w:vAlign w:val="center"/>
          </w:tcPr>
          <w:p w14:paraId="3BD3EE2E" w14:textId="77777777" w:rsidR="00E91F5F" w:rsidRDefault="00E91F5F" w:rsidP="00DA062A">
            <w:pPr>
              <w:jc w:val="center"/>
            </w:pPr>
            <w:r>
              <w:t>.923 (.852, 1.000)</w:t>
            </w:r>
          </w:p>
        </w:tc>
        <w:tc>
          <w:tcPr>
            <w:tcW w:w="2407" w:type="dxa"/>
            <w:vAlign w:val="center"/>
          </w:tcPr>
          <w:p w14:paraId="4C651F45" w14:textId="77777777" w:rsidR="00E91F5F" w:rsidRPr="00EF34DF" w:rsidRDefault="00E91F5F" w:rsidP="00DA062A">
            <w:pPr>
              <w:jc w:val="center"/>
              <w:rPr>
                <w:b/>
              </w:rPr>
            </w:pPr>
            <w:r w:rsidRPr="00EF34DF">
              <w:rPr>
                <w:b/>
              </w:rPr>
              <w:t>.829 (.738, .932)</w:t>
            </w:r>
          </w:p>
        </w:tc>
        <w:tc>
          <w:tcPr>
            <w:tcW w:w="2407" w:type="dxa"/>
            <w:vAlign w:val="center"/>
          </w:tcPr>
          <w:p w14:paraId="5E6D7B9F" w14:textId="77777777" w:rsidR="00E91F5F" w:rsidRPr="00A45CF6" w:rsidRDefault="00E91F5F" w:rsidP="00DA062A">
            <w:pPr>
              <w:jc w:val="center"/>
              <w:rPr>
                <w:b/>
              </w:rPr>
            </w:pPr>
            <w:r w:rsidRPr="00A45CF6">
              <w:rPr>
                <w:b/>
              </w:rPr>
              <w:t>.786 (.678, .911)</w:t>
            </w:r>
          </w:p>
        </w:tc>
        <w:tc>
          <w:tcPr>
            <w:tcW w:w="2407" w:type="dxa"/>
            <w:vAlign w:val="center"/>
          </w:tcPr>
          <w:p w14:paraId="292C6FA2" w14:textId="77777777" w:rsidR="00E91F5F" w:rsidRPr="002D758E" w:rsidRDefault="00E91F5F" w:rsidP="00DA062A">
            <w:pPr>
              <w:jc w:val="center"/>
              <w:rPr>
                <w:b/>
              </w:rPr>
            </w:pPr>
            <w:r w:rsidRPr="002D758E">
              <w:rPr>
                <w:b/>
              </w:rPr>
              <w:t>.84</w:t>
            </w:r>
            <w:r>
              <w:rPr>
                <w:b/>
              </w:rPr>
              <w:t>0</w:t>
            </w:r>
            <w:r w:rsidRPr="002D758E">
              <w:rPr>
                <w:b/>
              </w:rPr>
              <w:t xml:space="preserve"> (.73</w:t>
            </w:r>
            <w:r>
              <w:rPr>
                <w:b/>
              </w:rPr>
              <w:t>2</w:t>
            </w:r>
            <w:r w:rsidRPr="002D758E">
              <w:rPr>
                <w:b/>
              </w:rPr>
              <w:t>, .96</w:t>
            </w:r>
            <w:r>
              <w:rPr>
                <w:b/>
              </w:rPr>
              <w:t>3</w:t>
            </w:r>
            <w:r w:rsidRPr="002D758E">
              <w:rPr>
                <w:b/>
              </w:rPr>
              <w:t>)</w:t>
            </w:r>
          </w:p>
        </w:tc>
      </w:tr>
      <w:tr w:rsidR="00E91F5F" w14:paraId="2E9A5451" w14:textId="77777777" w:rsidTr="005B1735">
        <w:tc>
          <w:tcPr>
            <w:tcW w:w="3530" w:type="dxa"/>
          </w:tcPr>
          <w:p w14:paraId="6CCA0404" w14:textId="77777777" w:rsidR="00E91F5F" w:rsidRDefault="00E91F5F" w:rsidP="00DA062A">
            <w:pPr>
              <w:spacing w:before="20" w:after="20"/>
              <w:rPr>
                <w:b/>
              </w:rPr>
            </w:pPr>
            <w:r>
              <w:rPr>
                <w:b/>
              </w:rPr>
              <w:t>Medical specialty</w:t>
            </w:r>
            <w:r>
              <w:rPr>
                <w:b/>
                <w:vertAlign w:val="superscript"/>
              </w:rPr>
              <w:t>5</w:t>
            </w:r>
            <w:r>
              <w:rPr>
                <w:b/>
              </w:rPr>
              <w:t>:</w:t>
            </w:r>
          </w:p>
          <w:p w14:paraId="1D08EE1D" w14:textId="77777777" w:rsidR="00E91F5F" w:rsidRPr="00B359EC" w:rsidRDefault="00E91F5F" w:rsidP="00DA062A">
            <w:pPr>
              <w:spacing w:before="20" w:after="20"/>
              <w:rPr>
                <w:b/>
              </w:rPr>
            </w:pPr>
            <w:r>
              <w:rPr>
                <w:b/>
              </w:rPr>
              <w:t xml:space="preserve">     Physician - general</w:t>
            </w:r>
          </w:p>
        </w:tc>
        <w:tc>
          <w:tcPr>
            <w:tcW w:w="2407" w:type="dxa"/>
            <w:vAlign w:val="center"/>
          </w:tcPr>
          <w:p w14:paraId="7AA38E4C" w14:textId="77777777" w:rsidR="00E91F5F" w:rsidRDefault="00E91F5F" w:rsidP="00DA062A">
            <w:pPr>
              <w:jc w:val="center"/>
            </w:pPr>
            <w:r>
              <w:t>.458 (.182, 1.149)</w:t>
            </w:r>
          </w:p>
        </w:tc>
        <w:tc>
          <w:tcPr>
            <w:tcW w:w="2407" w:type="dxa"/>
            <w:vAlign w:val="center"/>
          </w:tcPr>
          <w:p w14:paraId="6F96E98D" w14:textId="77777777" w:rsidR="00E91F5F" w:rsidRDefault="00E91F5F" w:rsidP="00DA062A">
            <w:pPr>
              <w:jc w:val="center"/>
            </w:pPr>
            <w:r>
              <w:t>1.255 (.310, 5.081)</w:t>
            </w:r>
          </w:p>
        </w:tc>
        <w:tc>
          <w:tcPr>
            <w:tcW w:w="2407" w:type="dxa"/>
            <w:vAlign w:val="center"/>
          </w:tcPr>
          <w:p w14:paraId="0B8AAE74" w14:textId="77777777" w:rsidR="00E91F5F" w:rsidRDefault="00E91F5F" w:rsidP="00DA062A">
            <w:pPr>
              <w:jc w:val="center"/>
            </w:pPr>
            <w:r>
              <w:t>.821 (.269, 2.507)</w:t>
            </w:r>
          </w:p>
        </w:tc>
        <w:tc>
          <w:tcPr>
            <w:tcW w:w="2407" w:type="dxa"/>
            <w:vAlign w:val="center"/>
          </w:tcPr>
          <w:p w14:paraId="62533EBA" w14:textId="77777777" w:rsidR="00E91F5F" w:rsidRDefault="00E91F5F" w:rsidP="00DA062A">
            <w:pPr>
              <w:jc w:val="center"/>
            </w:pPr>
            <w:r>
              <w:t>3.716 (.753, 18.331)</w:t>
            </w:r>
          </w:p>
        </w:tc>
      </w:tr>
      <w:tr w:rsidR="00E91F5F" w14:paraId="19C11D83" w14:textId="77777777" w:rsidTr="005B1735">
        <w:tc>
          <w:tcPr>
            <w:tcW w:w="3530" w:type="dxa"/>
          </w:tcPr>
          <w:p w14:paraId="71A16CBB" w14:textId="77777777" w:rsidR="00E91F5F" w:rsidRDefault="00E91F5F" w:rsidP="00DA062A">
            <w:pPr>
              <w:spacing w:before="20" w:after="20"/>
              <w:rPr>
                <w:b/>
              </w:rPr>
            </w:pPr>
            <w:r>
              <w:rPr>
                <w:b/>
              </w:rPr>
              <w:t xml:space="preserve">     Physician – psychiatry &amp;    </w:t>
            </w:r>
          </w:p>
          <w:p w14:paraId="58D542CF" w14:textId="77777777" w:rsidR="00E91F5F" w:rsidRPr="00B359EC" w:rsidRDefault="00E91F5F" w:rsidP="00DA062A">
            <w:pPr>
              <w:spacing w:before="20" w:after="20"/>
              <w:rPr>
                <w:b/>
              </w:rPr>
            </w:pPr>
            <w:r>
              <w:rPr>
                <w:b/>
              </w:rPr>
              <w:t xml:space="preserve">     neurology</w:t>
            </w:r>
          </w:p>
        </w:tc>
        <w:tc>
          <w:tcPr>
            <w:tcW w:w="2407" w:type="dxa"/>
            <w:vAlign w:val="center"/>
          </w:tcPr>
          <w:p w14:paraId="0870E93A" w14:textId="77777777" w:rsidR="00E91F5F" w:rsidRDefault="00E91F5F" w:rsidP="00DA062A">
            <w:pPr>
              <w:jc w:val="center"/>
            </w:pPr>
            <w:r>
              <w:t>.760 (.311, 1.857)</w:t>
            </w:r>
          </w:p>
        </w:tc>
        <w:tc>
          <w:tcPr>
            <w:tcW w:w="2407" w:type="dxa"/>
            <w:vAlign w:val="center"/>
          </w:tcPr>
          <w:p w14:paraId="6EB00A5E" w14:textId="77777777" w:rsidR="00E91F5F" w:rsidRDefault="00E91F5F" w:rsidP="00DA062A">
            <w:pPr>
              <w:jc w:val="center"/>
            </w:pPr>
            <w:r>
              <w:t>1.345 (.322, 5.621)</w:t>
            </w:r>
          </w:p>
        </w:tc>
        <w:tc>
          <w:tcPr>
            <w:tcW w:w="2407" w:type="dxa"/>
            <w:vAlign w:val="center"/>
          </w:tcPr>
          <w:p w14:paraId="728AB01B" w14:textId="77777777" w:rsidR="00E91F5F" w:rsidRDefault="00E91F5F" w:rsidP="00DA062A">
            <w:pPr>
              <w:jc w:val="center"/>
            </w:pPr>
            <w:r>
              <w:t>.838 (.245, 2.869)</w:t>
            </w:r>
          </w:p>
        </w:tc>
        <w:tc>
          <w:tcPr>
            <w:tcW w:w="2407" w:type="dxa"/>
            <w:vAlign w:val="center"/>
          </w:tcPr>
          <w:p w14:paraId="4D92F4AB" w14:textId="77777777" w:rsidR="00E91F5F" w:rsidRDefault="00E91F5F" w:rsidP="00DA062A">
            <w:pPr>
              <w:jc w:val="center"/>
            </w:pPr>
            <w:r>
              <w:t>3.496 (.635, 19.252)</w:t>
            </w:r>
          </w:p>
        </w:tc>
      </w:tr>
      <w:tr w:rsidR="00E91F5F" w14:paraId="4E585457" w14:textId="77777777" w:rsidTr="005B1735">
        <w:tc>
          <w:tcPr>
            <w:tcW w:w="3530" w:type="dxa"/>
          </w:tcPr>
          <w:p w14:paraId="2095F8D1" w14:textId="77777777" w:rsidR="00E91F5F" w:rsidRPr="00B359EC" w:rsidRDefault="00E91F5F" w:rsidP="00DA062A">
            <w:pPr>
              <w:spacing w:before="20" w:after="20"/>
              <w:rPr>
                <w:b/>
              </w:rPr>
            </w:pPr>
            <w:r>
              <w:rPr>
                <w:b/>
              </w:rPr>
              <w:t xml:space="preserve">     Physician - other</w:t>
            </w:r>
          </w:p>
        </w:tc>
        <w:tc>
          <w:tcPr>
            <w:tcW w:w="2407" w:type="dxa"/>
            <w:vAlign w:val="center"/>
          </w:tcPr>
          <w:p w14:paraId="347735AE" w14:textId="77777777" w:rsidR="00E91F5F" w:rsidRDefault="00E91F5F" w:rsidP="00DA062A">
            <w:pPr>
              <w:jc w:val="center"/>
            </w:pPr>
            <w:r>
              <w:t>.480 (.172, 1.341)</w:t>
            </w:r>
          </w:p>
        </w:tc>
        <w:tc>
          <w:tcPr>
            <w:tcW w:w="2407" w:type="dxa"/>
            <w:vAlign w:val="center"/>
          </w:tcPr>
          <w:p w14:paraId="5C532030" w14:textId="77777777" w:rsidR="00E91F5F" w:rsidRDefault="00E91F5F" w:rsidP="00DA062A">
            <w:pPr>
              <w:jc w:val="center"/>
            </w:pPr>
            <w:r>
              <w:t>.896 (.173, 4.648)</w:t>
            </w:r>
          </w:p>
        </w:tc>
        <w:tc>
          <w:tcPr>
            <w:tcW w:w="2407" w:type="dxa"/>
            <w:vAlign w:val="center"/>
          </w:tcPr>
          <w:p w14:paraId="7C06B251" w14:textId="77777777" w:rsidR="00E91F5F" w:rsidRDefault="00E91F5F" w:rsidP="00DA062A">
            <w:pPr>
              <w:jc w:val="center"/>
            </w:pPr>
            <w:r>
              <w:t>1.145 (.313, 4.189)</w:t>
            </w:r>
          </w:p>
        </w:tc>
        <w:tc>
          <w:tcPr>
            <w:tcW w:w="2407" w:type="dxa"/>
            <w:vAlign w:val="center"/>
          </w:tcPr>
          <w:p w14:paraId="27F3C84F" w14:textId="77777777" w:rsidR="00E91F5F" w:rsidRDefault="00E91F5F" w:rsidP="00DA062A">
            <w:pPr>
              <w:jc w:val="center"/>
            </w:pPr>
            <w:r>
              <w:t>4.077 (.679, 24.492)</w:t>
            </w:r>
          </w:p>
        </w:tc>
      </w:tr>
      <w:tr w:rsidR="00E91F5F" w14:paraId="258BC539" w14:textId="77777777" w:rsidTr="005B1735">
        <w:tc>
          <w:tcPr>
            <w:tcW w:w="3530" w:type="dxa"/>
          </w:tcPr>
          <w:p w14:paraId="2DA87F0C" w14:textId="77777777" w:rsidR="00E91F5F" w:rsidRDefault="00E91F5F" w:rsidP="00DA062A">
            <w:pPr>
              <w:spacing w:before="20" w:after="20"/>
              <w:rPr>
                <w:b/>
              </w:rPr>
            </w:pPr>
            <w:r>
              <w:rPr>
                <w:b/>
              </w:rPr>
              <w:t xml:space="preserve">     NP/PA</w:t>
            </w:r>
          </w:p>
        </w:tc>
        <w:tc>
          <w:tcPr>
            <w:tcW w:w="2407" w:type="dxa"/>
            <w:vAlign w:val="center"/>
          </w:tcPr>
          <w:p w14:paraId="341EC959" w14:textId="77777777" w:rsidR="00E91F5F" w:rsidRDefault="00E91F5F" w:rsidP="00DA062A">
            <w:pPr>
              <w:jc w:val="center"/>
            </w:pPr>
            <w:r>
              <w:t>-</w:t>
            </w:r>
          </w:p>
        </w:tc>
        <w:tc>
          <w:tcPr>
            <w:tcW w:w="2407" w:type="dxa"/>
            <w:vAlign w:val="center"/>
          </w:tcPr>
          <w:p w14:paraId="1C1F3AF1" w14:textId="77777777" w:rsidR="00E91F5F" w:rsidRDefault="00E91F5F" w:rsidP="00DA062A">
            <w:pPr>
              <w:jc w:val="center"/>
            </w:pPr>
            <w:r>
              <w:t>-</w:t>
            </w:r>
          </w:p>
        </w:tc>
        <w:tc>
          <w:tcPr>
            <w:tcW w:w="2407" w:type="dxa"/>
            <w:vAlign w:val="center"/>
          </w:tcPr>
          <w:p w14:paraId="752500B2" w14:textId="77777777" w:rsidR="00E91F5F" w:rsidRDefault="00E91F5F" w:rsidP="00DA062A">
            <w:pPr>
              <w:jc w:val="center"/>
            </w:pPr>
            <w:r>
              <w:t>-</w:t>
            </w:r>
          </w:p>
        </w:tc>
        <w:tc>
          <w:tcPr>
            <w:tcW w:w="2407" w:type="dxa"/>
            <w:vAlign w:val="center"/>
          </w:tcPr>
          <w:p w14:paraId="2798A201" w14:textId="77777777" w:rsidR="00E91F5F" w:rsidRDefault="00E91F5F" w:rsidP="00DA062A">
            <w:pPr>
              <w:jc w:val="center"/>
            </w:pPr>
            <w:r>
              <w:t>3.684 (.685, 19.815)</w:t>
            </w:r>
          </w:p>
        </w:tc>
      </w:tr>
      <w:tr w:rsidR="00E91F5F" w14:paraId="2963D346" w14:textId="77777777" w:rsidTr="005B1735">
        <w:trPr>
          <w:trHeight w:val="368"/>
        </w:trPr>
        <w:tc>
          <w:tcPr>
            <w:tcW w:w="3530" w:type="dxa"/>
          </w:tcPr>
          <w:p w14:paraId="7E19F2C5" w14:textId="77777777" w:rsidR="00E91F5F" w:rsidRPr="00B359EC" w:rsidRDefault="00E91F5F" w:rsidP="00DA062A">
            <w:pPr>
              <w:spacing w:before="20" w:after="20"/>
              <w:rPr>
                <w:b/>
              </w:rPr>
            </w:pPr>
            <w:r w:rsidRPr="00B359EC">
              <w:rPr>
                <w:b/>
              </w:rPr>
              <w:t>Constant</w:t>
            </w:r>
          </w:p>
        </w:tc>
        <w:tc>
          <w:tcPr>
            <w:tcW w:w="2407" w:type="dxa"/>
            <w:vAlign w:val="center"/>
          </w:tcPr>
          <w:p w14:paraId="44837251" w14:textId="77777777" w:rsidR="00E91F5F" w:rsidRDefault="00E91F5F" w:rsidP="00DA062A">
            <w:pPr>
              <w:jc w:val="center"/>
            </w:pPr>
            <w:r>
              <w:t>.150</w:t>
            </w:r>
          </w:p>
        </w:tc>
        <w:tc>
          <w:tcPr>
            <w:tcW w:w="2407" w:type="dxa"/>
            <w:vAlign w:val="center"/>
          </w:tcPr>
          <w:p w14:paraId="01C565EC" w14:textId="77777777" w:rsidR="00E91F5F" w:rsidRDefault="00E91F5F" w:rsidP="00DA062A">
            <w:pPr>
              <w:jc w:val="center"/>
            </w:pPr>
            <w:r>
              <w:t>.009</w:t>
            </w:r>
          </w:p>
        </w:tc>
        <w:tc>
          <w:tcPr>
            <w:tcW w:w="2407" w:type="dxa"/>
            <w:vAlign w:val="center"/>
          </w:tcPr>
          <w:p w14:paraId="0CE3AFB5" w14:textId="77777777" w:rsidR="00E91F5F" w:rsidRDefault="00E91F5F" w:rsidP="00DA062A">
            <w:pPr>
              <w:jc w:val="center"/>
            </w:pPr>
            <w:r>
              <w:t>.013</w:t>
            </w:r>
          </w:p>
        </w:tc>
        <w:tc>
          <w:tcPr>
            <w:tcW w:w="2407" w:type="dxa"/>
            <w:vAlign w:val="center"/>
          </w:tcPr>
          <w:p w14:paraId="15D8633D" w14:textId="77777777" w:rsidR="00E91F5F" w:rsidRDefault="00E91F5F" w:rsidP="00DA062A">
            <w:pPr>
              <w:jc w:val="center"/>
            </w:pPr>
            <w:r>
              <w:t>.002</w:t>
            </w:r>
          </w:p>
        </w:tc>
      </w:tr>
      <w:tr w:rsidR="00E91F5F" w14:paraId="777C882F" w14:textId="77777777" w:rsidTr="005B1735">
        <w:trPr>
          <w:trHeight w:val="29"/>
        </w:trPr>
        <w:tc>
          <w:tcPr>
            <w:tcW w:w="3530" w:type="dxa"/>
            <w:vAlign w:val="center"/>
          </w:tcPr>
          <w:p w14:paraId="75ACF0E4" w14:textId="77777777" w:rsidR="00E91F5F" w:rsidRPr="00B359EC" w:rsidRDefault="00E91F5F" w:rsidP="00BC5069">
            <w:pPr>
              <w:jc w:val="center"/>
              <w:rPr>
                <w:b/>
              </w:rPr>
            </w:pPr>
          </w:p>
        </w:tc>
        <w:tc>
          <w:tcPr>
            <w:tcW w:w="2407" w:type="dxa"/>
            <w:vAlign w:val="center"/>
          </w:tcPr>
          <w:p w14:paraId="06A255D4" w14:textId="77777777" w:rsidR="00E91F5F" w:rsidRDefault="00E91F5F" w:rsidP="00DA062A">
            <w:pPr>
              <w:jc w:val="center"/>
            </w:pPr>
          </w:p>
        </w:tc>
        <w:tc>
          <w:tcPr>
            <w:tcW w:w="2407" w:type="dxa"/>
            <w:vAlign w:val="center"/>
          </w:tcPr>
          <w:p w14:paraId="1CC34C9B" w14:textId="77777777" w:rsidR="00E91F5F" w:rsidRDefault="00E91F5F" w:rsidP="00DA062A">
            <w:pPr>
              <w:jc w:val="center"/>
            </w:pPr>
          </w:p>
        </w:tc>
        <w:tc>
          <w:tcPr>
            <w:tcW w:w="2407" w:type="dxa"/>
            <w:vAlign w:val="center"/>
          </w:tcPr>
          <w:p w14:paraId="0B5E9EB1" w14:textId="77777777" w:rsidR="00E91F5F" w:rsidRDefault="00E91F5F" w:rsidP="00DA062A">
            <w:pPr>
              <w:jc w:val="center"/>
            </w:pPr>
          </w:p>
        </w:tc>
        <w:tc>
          <w:tcPr>
            <w:tcW w:w="2407" w:type="dxa"/>
            <w:vAlign w:val="center"/>
          </w:tcPr>
          <w:p w14:paraId="47FAB19C" w14:textId="77777777" w:rsidR="00E91F5F" w:rsidRDefault="00E91F5F" w:rsidP="00DA062A">
            <w:pPr>
              <w:jc w:val="center"/>
            </w:pPr>
          </w:p>
        </w:tc>
      </w:tr>
      <w:tr w:rsidR="00E91F5F" w14:paraId="2DCD9D14" w14:textId="77777777" w:rsidTr="005B1735">
        <w:tc>
          <w:tcPr>
            <w:tcW w:w="3530" w:type="dxa"/>
          </w:tcPr>
          <w:p w14:paraId="7F815D18" w14:textId="77777777" w:rsidR="00E91F5F" w:rsidRPr="00B359EC" w:rsidRDefault="00E91F5F" w:rsidP="00DA062A">
            <w:pPr>
              <w:spacing w:before="20" w:after="20"/>
              <w:rPr>
                <w:b/>
              </w:rPr>
            </w:pPr>
            <w:r w:rsidRPr="00B359EC">
              <w:rPr>
                <w:b/>
              </w:rPr>
              <w:t>N</w:t>
            </w:r>
          </w:p>
        </w:tc>
        <w:tc>
          <w:tcPr>
            <w:tcW w:w="2407" w:type="dxa"/>
            <w:vAlign w:val="center"/>
          </w:tcPr>
          <w:p w14:paraId="20DD62D3" w14:textId="77777777" w:rsidR="00E91F5F" w:rsidRDefault="00E91F5F" w:rsidP="00DA062A">
            <w:pPr>
              <w:jc w:val="center"/>
            </w:pPr>
            <w:r>
              <w:t>499</w:t>
            </w:r>
          </w:p>
        </w:tc>
        <w:tc>
          <w:tcPr>
            <w:tcW w:w="2407" w:type="dxa"/>
            <w:vAlign w:val="center"/>
          </w:tcPr>
          <w:p w14:paraId="6824EAED" w14:textId="77777777" w:rsidR="00E91F5F" w:rsidRDefault="00E91F5F" w:rsidP="00DA062A">
            <w:pPr>
              <w:jc w:val="center"/>
            </w:pPr>
            <w:r>
              <w:t>465</w:t>
            </w:r>
          </w:p>
        </w:tc>
        <w:tc>
          <w:tcPr>
            <w:tcW w:w="2407" w:type="dxa"/>
            <w:vAlign w:val="center"/>
          </w:tcPr>
          <w:p w14:paraId="6B5581BA" w14:textId="77777777" w:rsidR="00E91F5F" w:rsidRDefault="00E91F5F" w:rsidP="00DA062A">
            <w:pPr>
              <w:jc w:val="center"/>
            </w:pPr>
            <w:r>
              <w:t>468</w:t>
            </w:r>
          </w:p>
        </w:tc>
        <w:tc>
          <w:tcPr>
            <w:tcW w:w="2407" w:type="dxa"/>
            <w:vAlign w:val="center"/>
          </w:tcPr>
          <w:p w14:paraId="4A5EB188" w14:textId="77777777" w:rsidR="00E91F5F" w:rsidRDefault="00E91F5F" w:rsidP="00DA062A">
            <w:pPr>
              <w:jc w:val="center"/>
            </w:pPr>
            <w:r>
              <w:t>560</w:t>
            </w:r>
          </w:p>
        </w:tc>
      </w:tr>
      <w:tr w:rsidR="00E91F5F" w14:paraId="48DC3156" w14:textId="77777777" w:rsidTr="005B1735">
        <w:tc>
          <w:tcPr>
            <w:tcW w:w="3530" w:type="dxa"/>
          </w:tcPr>
          <w:p w14:paraId="440FC69B" w14:textId="77777777" w:rsidR="00E91F5F" w:rsidRPr="00B359EC" w:rsidRDefault="00E91F5F" w:rsidP="00DA062A">
            <w:pPr>
              <w:spacing w:before="20" w:after="20"/>
              <w:rPr>
                <w:b/>
              </w:rPr>
            </w:pPr>
            <w:proofErr w:type="spellStart"/>
            <w:r w:rsidRPr="00B359EC">
              <w:rPr>
                <w:b/>
              </w:rPr>
              <w:t>Nagelkerke</w:t>
            </w:r>
            <w:proofErr w:type="spellEnd"/>
            <w:r w:rsidRPr="00B359EC">
              <w:rPr>
                <w:b/>
              </w:rPr>
              <w:t xml:space="preserve"> R</w:t>
            </w:r>
            <w:r w:rsidRPr="00B359EC">
              <w:rPr>
                <w:b/>
                <w:vertAlign w:val="superscript"/>
              </w:rPr>
              <w:t>2</w:t>
            </w:r>
          </w:p>
        </w:tc>
        <w:tc>
          <w:tcPr>
            <w:tcW w:w="2407" w:type="dxa"/>
            <w:vAlign w:val="center"/>
          </w:tcPr>
          <w:p w14:paraId="2C4306F2" w14:textId="77777777" w:rsidR="00E91F5F" w:rsidRDefault="00E91F5F" w:rsidP="00DA062A">
            <w:pPr>
              <w:jc w:val="center"/>
            </w:pPr>
            <w:r>
              <w:t>.232</w:t>
            </w:r>
          </w:p>
        </w:tc>
        <w:tc>
          <w:tcPr>
            <w:tcW w:w="2407" w:type="dxa"/>
            <w:vAlign w:val="center"/>
          </w:tcPr>
          <w:p w14:paraId="226E3534" w14:textId="77777777" w:rsidR="00E91F5F" w:rsidRDefault="00E91F5F" w:rsidP="00DA062A">
            <w:pPr>
              <w:jc w:val="center"/>
            </w:pPr>
            <w:r>
              <w:t>.212</w:t>
            </w:r>
          </w:p>
        </w:tc>
        <w:tc>
          <w:tcPr>
            <w:tcW w:w="2407" w:type="dxa"/>
            <w:vAlign w:val="center"/>
          </w:tcPr>
          <w:p w14:paraId="78FBC3B6" w14:textId="77777777" w:rsidR="00E91F5F" w:rsidRDefault="00E91F5F" w:rsidP="00DA062A">
            <w:pPr>
              <w:jc w:val="center"/>
            </w:pPr>
            <w:r>
              <w:t>.283</w:t>
            </w:r>
          </w:p>
        </w:tc>
        <w:tc>
          <w:tcPr>
            <w:tcW w:w="2407" w:type="dxa"/>
            <w:vAlign w:val="center"/>
          </w:tcPr>
          <w:p w14:paraId="6D900351" w14:textId="77777777" w:rsidR="00E91F5F" w:rsidRDefault="00E91F5F" w:rsidP="00DA062A">
            <w:pPr>
              <w:jc w:val="center"/>
            </w:pPr>
            <w:r>
              <w:t>.231</w:t>
            </w:r>
          </w:p>
        </w:tc>
      </w:tr>
      <w:tr w:rsidR="00E91F5F" w14:paraId="24F5C1B9" w14:textId="77777777" w:rsidTr="005B1735">
        <w:tc>
          <w:tcPr>
            <w:tcW w:w="3530" w:type="dxa"/>
          </w:tcPr>
          <w:p w14:paraId="425D9446" w14:textId="77777777" w:rsidR="00E91F5F" w:rsidRPr="00B359EC" w:rsidRDefault="00E91F5F" w:rsidP="00DA062A">
            <w:pPr>
              <w:spacing w:before="20" w:after="20"/>
              <w:rPr>
                <w:b/>
              </w:rPr>
            </w:pPr>
            <w:r>
              <w:rPr>
                <w:b/>
              </w:rPr>
              <w:t xml:space="preserve">Hosmer and </w:t>
            </w:r>
            <w:proofErr w:type="spellStart"/>
            <w:r>
              <w:rPr>
                <w:b/>
              </w:rPr>
              <w:t>Lemeshow</w:t>
            </w:r>
            <w:proofErr w:type="spellEnd"/>
            <w:r>
              <w:rPr>
                <w:b/>
              </w:rPr>
              <w:t xml:space="preserve"> Test</w:t>
            </w:r>
          </w:p>
        </w:tc>
        <w:tc>
          <w:tcPr>
            <w:tcW w:w="2407" w:type="dxa"/>
            <w:vAlign w:val="center"/>
          </w:tcPr>
          <w:p w14:paraId="1B0E07B7" w14:textId="77777777" w:rsidR="00E91F5F" w:rsidRDefault="00E91F5F" w:rsidP="00DA062A">
            <w:pPr>
              <w:jc w:val="center"/>
            </w:pPr>
            <w:r>
              <w:t>.259</w:t>
            </w:r>
          </w:p>
        </w:tc>
        <w:tc>
          <w:tcPr>
            <w:tcW w:w="2407" w:type="dxa"/>
            <w:vAlign w:val="center"/>
          </w:tcPr>
          <w:p w14:paraId="044AB97F" w14:textId="77777777" w:rsidR="00E91F5F" w:rsidRDefault="00E91F5F" w:rsidP="00DA062A">
            <w:pPr>
              <w:jc w:val="center"/>
            </w:pPr>
            <w:r>
              <w:t>.591</w:t>
            </w:r>
          </w:p>
        </w:tc>
        <w:tc>
          <w:tcPr>
            <w:tcW w:w="2407" w:type="dxa"/>
            <w:vAlign w:val="center"/>
          </w:tcPr>
          <w:p w14:paraId="41BAF196" w14:textId="77777777" w:rsidR="00E91F5F" w:rsidRDefault="00E91F5F" w:rsidP="00DA062A">
            <w:pPr>
              <w:jc w:val="center"/>
            </w:pPr>
            <w:r>
              <w:t>.354</w:t>
            </w:r>
          </w:p>
        </w:tc>
        <w:tc>
          <w:tcPr>
            <w:tcW w:w="2407" w:type="dxa"/>
            <w:vAlign w:val="center"/>
          </w:tcPr>
          <w:p w14:paraId="3BD2E707" w14:textId="77777777" w:rsidR="00E91F5F" w:rsidRDefault="00E91F5F" w:rsidP="00DA062A">
            <w:pPr>
              <w:jc w:val="center"/>
            </w:pPr>
            <w:r>
              <w:t>.122</w:t>
            </w:r>
          </w:p>
        </w:tc>
      </w:tr>
    </w:tbl>
    <w:p w14:paraId="0315A94E" w14:textId="77777777" w:rsidR="00E91F5F" w:rsidRDefault="00E91F5F" w:rsidP="00BC5069">
      <w:pPr>
        <w:spacing w:before="120" w:after="0"/>
        <w:ind w:left="720" w:hanging="720"/>
      </w:pPr>
      <w:r>
        <w:t xml:space="preserve">Notes: </w:t>
      </w:r>
      <w:r>
        <w:tab/>
        <w:t>1. The pool of prescribers who are potential adopters of the 275-patient waiver is all prescribers waivered for 100 patients in the year prior to the column year who had at least one MOUD patient in that year. Independent variables are for the year prior to the column year.</w:t>
      </w:r>
    </w:p>
    <w:p w14:paraId="710CD9AB" w14:textId="77777777" w:rsidR="00E91F5F" w:rsidRDefault="00E91F5F" w:rsidP="00E91F5F">
      <w:pPr>
        <w:spacing w:after="0"/>
        <w:ind w:left="720"/>
      </w:pPr>
      <w:r>
        <w:t>2. The regressions control for county variations in prescriber location via a dichotomous variable for each county (results not shown).</w:t>
      </w:r>
    </w:p>
    <w:p w14:paraId="15076824" w14:textId="77777777" w:rsidR="00E91F5F" w:rsidRDefault="00E91F5F" w:rsidP="00E91F5F">
      <w:pPr>
        <w:spacing w:after="0"/>
        <w:ind w:left="720"/>
      </w:pPr>
      <w:r>
        <w:t xml:space="preserve">3. Odds ratios significant at the .05 level are shown in </w:t>
      </w:r>
      <w:r w:rsidRPr="008D099F">
        <w:rPr>
          <w:b/>
        </w:rPr>
        <w:t>bold</w:t>
      </w:r>
      <w:r>
        <w:t>.</w:t>
      </w:r>
    </w:p>
    <w:p w14:paraId="5832F096" w14:textId="77777777" w:rsidR="00E91F5F" w:rsidRDefault="00E91F5F" w:rsidP="00E91F5F">
      <w:pPr>
        <w:spacing w:after="0"/>
        <w:ind w:left="720"/>
      </w:pPr>
      <w:r>
        <w:t>4. Medicaid data were not available for 2015.</w:t>
      </w:r>
    </w:p>
    <w:p w14:paraId="35449D95" w14:textId="77777777" w:rsidR="005B1735" w:rsidRDefault="00E91F5F" w:rsidP="00E91F5F">
      <w:pPr>
        <w:spacing w:after="0"/>
        <w:ind w:left="720"/>
      </w:pPr>
      <w:r>
        <w:t>5. The reference category is specialty missing.</w:t>
      </w:r>
    </w:p>
    <w:p w14:paraId="245E36F8" w14:textId="77777777" w:rsidR="005B1735" w:rsidRDefault="005B1735">
      <w:r>
        <w:br w:type="page"/>
      </w:r>
    </w:p>
    <w:p w14:paraId="4D6F99C4" w14:textId="77777777" w:rsidR="005B1735" w:rsidRPr="00B359EC" w:rsidRDefault="005B1735" w:rsidP="005B1735">
      <w:pPr>
        <w:spacing w:after="0" w:line="240" w:lineRule="auto"/>
        <w:rPr>
          <w:b/>
        </w:rPr>
      </w:pPr>
      <w:r>
        <w:rPr>
          <w:b/>
        </w:rPr>
        <w:lastRenderedPageBreak/>
        <w:t>IV.</w:t>
      </w:r>
      <w:r w:rsidR="00BE1391">
        <w:rPr>
          <w:b/>
        </w:rPr>
        <w:t>4</w:t>
      </w:r>
      <w:r>
        <w:rPr>
          <w:b/>
        </w:rPr>
        <w:t xml:space="preserve">b: </w:t>
      </w:r>
      <w:r w:rsidRPr="00B359EC">
        <w:rPr>
          <w:b/>
        </w:rPr>
        <w:t xml:space="preserve">Dependent variable: </w:t>
      </w:r>
    </w:p>
    <w:p w14:paraId="4D6ACD98" w14:textId="77777777" w:rsidR="005B1735" w:rsidRPr="00B359EC" w:rsidRDefault="005B1735" w:rsidP="005B1735">
      <w:pPr>
        <w:spacing w:after="0"/>
        <w:rPr>
          <w:b/>
        </w:rPr>
      </w:pPr>
      <w:r>
        <w:rPr>
          <w:b/>
        </w:rPr>
        <w:t>Becoming waivered f</w:t>
      </w:r>
      <w:r w:rsidRPr="00B359EC">
        <w:rPr>
          <w:b/>
        </w:rPr>
        <w:t>or 275 patients in:</w:t>
      </w:r>
      <w:r w:rsidRPr="00B359EC">
        <w:rPr>
          <w:b/>
        </w:rPr>
        <w:tab/>
        <w:t xml:space="preserve">  </w:t>
      </w:r>
      <w:r>
        <w:rPr>
          <w:b/>
        </w:rPr>
        <w:t xml:space="preserve">            </w:t>
      </w:r>
      <w:r w:rsidRPr="00B359EC">
        <w:rPr>
          <w:b/>
        </w:rPr>
        <w:t>2016</w:t>
      </w:r>
      <w:r w:rsidRPr="00B359EC">
        <w:rPr>
          <w:b/>
        </w:rPr>
        <w:tab/>
        <w:t xml:space="preserve"> </w:t>
      </w:r>
      <w:r>
        <w:rPr>
          <w:b/>
        </w:rPr>
        <w:t xml:space="preserve">      </w:t>
      </w:r>
      <w:r w:rsidRPr="00B359EC">
        <w:rPr>
          <w:b/>
        </w:rPr>
        <w:t xml:space="preserve">        </w:t>
      </w:r>
      <w:r>
        <w:rPr>
          <w:b/>
        </w:rPr>
        <w:t xml:space="preserve">                  </w:t>
      </w:r>
      <w:r w:rsidRPr="00B359EC">
        <w:rPr>
          <w:b/>
        </w:rPr>
        <w:t>2017</w:t>
      </w:r>
      <w:r w:rsidRPr="00B359EC">
        <w:rPr>
          <w:b/>
        </w:rPr>
        <w:tab/>
        <w:t xml:space="preserve">     </w:t>
      </w:r>
      <w:r w:rsidRPr="00B359EC">
        <w:rPr>
          <w:b/>
        </w:rPr>
        <w:tab/>
        <w:t xml:space="preserve">  </w:t>
      </w:r>
      <w:r>
        <w:rPr>
          <w:b/>
        </w:rPr>
        <w:t xml:space="preserve">                      </w:t>
      </w:r>
      <w:r w:rsidRPr="00B359EC">
        <w:rPr>
          <w:b/>
        </w:rPr>
        <w:t xml:space="preserve">2018    </w:t>
      </w:r>
      <w:r>
        <w:rPr>
          <w:b/>
        </w:rPr>
        <w:tab/>
      </w:r>
      <w:r w:rsidRPr="00B359EC">
        <w:rPr>
          <w:b/>
        </w:rPr>
        <w:t xml:space="preserve"> </w:t>
      </w:r>
      <w:r>
        <w:rPr>
          <w:b/>
        </w:rPr>
        <w:t xml:space="preserve">   </w:t>
      </w:r>
      <w:r>
        <w:rPr>
          <w:b/>
        </w:rPr>
        <w:tab/>
        <w:t xml:space="preserve">    </w:t>
      </w:r>
      <w:r w:rsidRPr="00B359EC">
        <w:rPr>
          <w:b/>
        </w:rPr>
        <w:t>2019 (1</w:t>
      </w:r>
      <w:r w:rsidRPr="00B359EC">
        <w:rPr>
          <w:b/>
          <w:vertAlign w:val="superscript"/>
        </w:rPr>
        <w:t>st</w:t>
      </w:r>
      <w:r w:rsidRPr="00B359EC">
        <w:rPr>
          <w:b/>
        </w:rPr>
        <w:t xml:space="preserve"> 8 months)</w:t>
      </w:r>
    </w:p>
    <w:tbl>
      <w:tblPr>
        <w:tblStyle w:val="TableGrid"/>
        <w:tblW w:w="13158" w:type="dxa"/>
        <w:tblLayout w:type="fixed"/>
        <w:tblLook w:val="04A0" w:firstRow="1" w:lastRow="0" w:firstColumn="1" w:lastColumn="0" w:noHBand="0" w:noVBand="1"/>
      </w:tblPr>
      <w:tblGrid>
        <w:gridCol w:w="3530"/>
        <w:gridCol w:w="2407"/>
        <w:gridCol w:w="2407"/>
        <w:gridCol w:w="2407"/>
        <w:gridCol w:w="2407"/>
      </w:tblGrid>
      <w:tr w:rsidR="005B1735" w14:paraId="6FE49664" w14:textId="77777777" w:rsidTr="006E3162">
        <w:tc>
          <w:tcPr>
            <w:tcW w:w="3530" w:type="dxa"/>
          </w:tcPr>
          <w:p w14:paraId="155E0E72" w14:textId="77777777" w:rsidR="005B1735" w:rsidRPr="00B359EC" w:rsidRDefault="005B1735" w:rsidP="006E3162">
            <w:pPr>
              <w:spacing w:before="20" w:after="20"/>
              <w:rPr>
                <w:b/>
              </w:rPr>
            </w:pPr>
            <w:r w:rsidRPr="00B359EC">
              <w:rPr>
                <w:b/>
              </w:rPr>
              <w:t>Predictors</w:t>
            </w:r>
            <w:r w:rsidRPr="00AB471E">
              <w:rPr>
                <w:b/>
                <w:vertAlign w:val="superscript"/>
              </w:rPr>
              <w:t>1</w:t>
            </w:r>
            <w:r>
              <w:rPr>
                <w:b/>
                <w:vertAlign w:val="superscript"/>
              </w:rPr>
              <w:t>,2</w:t>
            </w:r>
            <w:r w:rsidRPr="00B359EC">
              <w:rPr>
                <w:b/>
              </w:rPr>
              <w:t>:</w:t>
            </w:r>
          </w:p>
        </w:tc>
        <w:tc>
          <w:tcPr>
            <w:tcW w:w="2407" w:type="dxa"/>
            <w:vAlign w:val="center"/>
          </w:tcPr>
          <w:p w14:paraId="545CF72A" w14:textId="77777777" w:rsidR="005B1735" w:rsidRPr="00B359EC" w:rsidRDefault="005B1735" w:rsidP="006E3162">
            <w:pPr>
              <w:jc w:val="center"/>
              <w:rPr>
                <w:b/>
              </w:rPr>
            </w:pPr>
            <w:r>
              <w:rPr>
                <w:b/>
              </w:rPr>
              <w:t>OR (95% CI)</w:t>
            </w:r>
          </w:p>
        </w:tc>
        <w:tc>
          <w:tcPr>
            <w:tcW w:w="2407" w:type="dxa"/>
            <w:vAlign w:val="center"/>
          </w:tcPr>
          <w:p w14:paraId="0D82F89A" w14:textId="77777777" w:rsidR="005B1735" w:rsidRPr="00B359EC" w:rsidRDefault="005B1735" w:rsidP="006E3162">
            <w:pPr>
              <w:jc w:val="center"/>
              <w:rPr>
                <w:b/>
              </w:rPr>
            </w:pPr>
            <w:r>
              <w:rPr>
                <w:b/>
              </w:rPr>
              <w:t>OR (95% CI)</w:t>
            </w:r>
          </w:p>
        </w:tc>
        <w:tc>
          <w:tcPr>
            <w:tcW w:w="2407" w:type="dxa"/>
            <w:vAlign w:val="center"/>
          </w:tcPr>
          <w:p w14:paraId="7487E676" w14:textId="77777777" w:rsidR="005B1735" w:rsidRPr="00B359EC" w:rsidRDefault="005B1735" w:rsidP="006E3162">
            <w:pPr>
              <w:jc w:val="center"/>
              <w:rPr>
                <w:b/>
              </w:rPr>
            </w:pPr>
            <w:r>
              <w:rPr>
                <w:b/>
              </w:rPr>
              <w:t>OR (95% CI)</w:t>
            </w:r>
          </w:p>
        </w:tc>
        <w:tc>
          <w:tcPr>
            <w:tcW w:w="2407" w:type="dxa"/>
            <w:vAlign w:val="center"/>
          </w:tcPr>
          <w:p w14:paraId="1CA137C1" w14:textId="77777777" w:rsidR="005B1735" w:rsidRPr="00B359EC" w:rsidRDefault="005B1735" w:rsidP="006E3162">
            <w:pPr>
              <w:jc w:val="center"/>
              <w:rPr>
                <w:b/>
              </w:rPr>
            </w:pPr>
            <w:r>
              <w:rPr>
                <w:b/>
              </w:rPr>
              <w:t>OR (95% CI)</w:t>
            </w:r>
          </w:p>
        </w:tc>
      </w:tr>
      <w:tr w:rsidR="005B1735" w14:paraId="1BEB7715" w14:textId="77777777" w:rsidTr="006E3162">
        <w:tc>
          <w:tcPr>
            <w:tcW w:w="3530" w:type="dxa"/>
          </w:tcPr>
          <w:p w14:paraId="2F6A6BC5" w14:textId="77777777" w:rsidR="005B1735" w:rsidRPr="00B359EC" w:rsidRDefault="005B1735" w:rsidP="006E3162">
            <w:pPr>
              <w:spacing w:before="20" w:after="20"/>
              <w:rPr>
                <w:b/>
              </w:rPr>
            </w:pPr>
            <w:r w:rsidRPr="00B359EC">
              <w:rPr>
                <w:b/>
              </w:rPr>
              <w:t>Median monthly active patients</w:t>
            </w:r>
          </w:p>
        </w:tc>
        <w:tc>
          <w:tcPr>
            <w:tcW w:w="2407" w:type="dxa"/>
            <w:vAlign w:val="center"/>
          </w:tcPr>
          <w:p w14:paraId="20B53EB5" w14:textId="77777777" w:rsidR="005B1735" w:rsidRPr="00EF34DF" w:rsidRDefault="00C02DA0" w:rsidP="006E3162">
            <w:pPr>
              <w:jc w:val="center"/>
              <w:rPr>
                <w:b/>
              </w:rPr>
            </w:pPr>
            <w:r>
              <w:rPr>
                <w:b/>
              </w:rPr>
              <w:t>-</w:t>
            </w:r>
          </w:p>
        </w:tc>
        <w:tc>
          <w:tcPr>
            <w:tcW w:w="2407" w:type="dxa"/>
            <w:vAlign w:val="center"/>
          </w:tcPr>
          <w:p w14:paraId="64336CEF" w14:textId="77777777" w:rsidR="005B1735" w:rsidRPr="00EF34DF" w:rsidRDefault="00C02DA0" w:rsidP="006E3162">
            <w:pPr>
              <w:jc w:val="center"/>
              <w:rPr>
                <w:b/>
              </w:rPr>
            </w:pPr>
            <w:r>
              <w:rPr>
                <w:b/>
              </w:rPr>
              <w:t>1.034 (1.017, 1.051)</w:t>
            </w:r>
          </w:p>
        </w:tc>
        <w:tc>
          <w:tcPr>
            <w:tcW w:w="2407" w:type="dxa"/>
            <w:vAlign w:val="center"/>
          </w:tcPr>
          <w:p w14:paraId="23E6FC18" w14:textId="77777777" w:rsidR="005B1735" w:rsidRPr="00A45CF6" w:rsidRDefault="00C02DA0" w:rsidP="006E3162">
            <w:pPr>
              <w:jc w:val="center"/>
              <w:rPr>
                <w:b/>
              </w:rPr>
            </w:pPr>
            <w:r>
              <w:rPr>
                <w:b/>
              </w:rPr>
              <w:t>1.047 (1.026, 1.067)</w:t>
            </w:r>
          </w:p>
        </w:tc>
        <w:tc>
          <w:tcPr>
            <w:tcW w:w="2407" w:type="dxa"/>
            <w:vAlign w:val="center"/>
          </w:tcPr>
          <w:p w14:paraId="6F61F471" w14:textId="77777777" w:rsidR="005B1735" w:rsidRPr="00277D0C" w:rsidRDefault="00277D0C" w:rsidP="006E3162">
            <w:pPr>
              <w:jc w:val="center"/>
              <w:rPr>
                <w:b/>
              </w:rPr>
            </w:pPr>
            <w:r w:rsidRPr="00277D0C">
              <w:rPr>
                <w:b/>
              </w:rPr>
              <w:t>1.026 (1.005, 1.047)</w:t>
            </w:r>
          </w:p>
        </w:tc>
      </w:tr>
      <w:tr w:rsidR="005B1735" w14:paraId="1C2A426D" w14:textId="77777777" w:rsidTr="006E3162">
        <w:tc>
          <w:tcPr>
            <w:tcW w:w="3530" w:type="dxa"/>
          </w:tcPr>
          <w:p w14:paraId="334426FD" w14:textId="77777777" w:rsidR="005B1735" w:rsidRPr="00B359EC" w:rsidRDefault="005B1735" w:rsidP="006E3162">
            <w:pPr>
              <w:spacing w:before="20" w:after="20"/>
              <w:rPr>
                <w:b/>
              </w:rPr>
            </w:pPr>
            <w:r w:rsidRPr="00B359EC">
              <w:rPr>
                <w:b/>
              </w:rPr>
              <w:t>Degree</w:t>
            </w:r>
            <w:r>
              <w:rPr>
                <w:b/>
              </w:rPr>
              <w:t>275</w:t>
            </w:r>
            <w:r w:rsidRPr="00B359EC">
              <w:rPr>
                <w:b/>
              </w:rPr>
              <w:t xml:space="preserve"> (no. of shared-patient ties of at least 10 patients</w:t>
            </w:r>
            <w:r>
              <w:rPr>
                <w:b/>
              </w:rPr>
              <w:t xml:space="preserve"> with prior adopters of the waiver for 275 patients)</w:t>
            </w:r>
          </w:p>
        </w:tc>
        <w:tc>
          <w:tcPr>
            <w:tcW w:w="2407" w:type="dxa"/>
            <w:vAlign w:val="center"/>
          </w:tcPr>
          <w:p w14:paraId="589880E4" w14:textId="77777777" w:rsidR="005B1735" w:rsidRPr="00EF34DF" w:rsidRDefault="00C02DA0" w:rsidP="006E3162">
            <w:pPr>
              <w:jc w:val="center"/>
              <w:rPr>
                <w:b/>
              </w:rPr>
            </w:pPr>
            <w:r>
              <w:rPr>
                <w:b/>
              </w:rPr>
              <w:t>-</w:t>
            </w:r>
          </w:p>
        </w:tc>
        <w:tc>
          <w:tcPr>
            <w:tcW w:w="2407" w:type="dxa"/>
            <w:vAlign w:val="center"/>
          </w:tcPr>
          <w:p w14:paraId="6D958185" w14:textId="77777777" w:rsidR="005B1735" w:rsidRDefault="00C02DA0" w:rsidP="006E3162">
            <w:pPr>
              <w:jc w:val="center"/>
            </w:pPr>
            <w:r>
              <w:t>1.377 (.923, 2.054)</w:t>
            </w:r>
          </w:p>
        </w:tc>
        <w:tc>
          <w:tcPr>
            <w:tcW w:w="2407" w:type="dxa"/>
            <w:vAlign w:val="center"/>
          </w:tcPr>
          <w:p w14:paraId="1B96AB3A" w14:textId="77777777" w:rsidR="005B1735" w:rsidRPr="00C02DA0" w:rsidRDefault="00C02DA0" w:rsidP="006E3162">
            <w:pPr>
              <w:jc w:val="center"/>
            </w:pPr>
            <w:r w:rsidRPr="00C02DA0">
              <w:t>1.379 (,949, 2.003)</w:t>
            </w:r>
          </w:p>
        </w:tc>
        <w:tc>
          <w:tcPr>
            <w:tcW w:w="2407" w:type="dxa"/>
            <w:vAlign w:val="center"/>
          </w:tcPr>
          <w:p w14:paraId="7E3396B9" w14:textId="77777777" w:rsidR="005B1735" w:rsidRPr="00277D0C" w:rsidRDefault="00277D0C" w:rsidP="006E3162">
            <w:pPr>
              <w:jc w:val="center"/>
            </w:pPr>
            <w:r w:rsidRPr="00277D0C">
              <w:t>1.228 (.912, 1.654)</w:t>
            </w:r>
          </w:p>
        </w:tc>
      </w:tr>
      <w:tr w:rsidR="005B1735" w14:paraId="6C3B9E04" w14:textId="77777777" w:rsidTr="006E3162">
        <w:tc>
          <w:tcPr>
            <w:tcW w:w="3530" w:type="dxa"/>
          </w:tcPr>
          <w:p w14:paraId="1C4315F5" w14:textId="77777777" w:rsidR="005B1735" w:rsidRPr="00B359EC" w:rsidRDefault="005B1735" w:rsidP="006E3162">
            <w:pPr>
              <w:spacing w:before="20" w:after="20"/>
              <w:rPr>
                <w:b/>
              </w:rPr>
            </w:pPr>
            <w:r w:rsidRPr="00B359EC">
              <w:rPr>
                <w:b/>
              </w:rPr>
              <w:t>Percent of patients on Medicaid</w:t>
            </w:r>
          </w:p>
        </w:tc>
        <w:tc>
          <w:tcPr>
            <w:tcW w:w="2407" w:type="dxa"/>
            <w:vAlign w:val="center"/>
          </w:tcPr>
          <w:p w14:paraId="54AE20FC" w14:textId="77777777" w:rsidR="005B1735" w:rsidRDefault="00C02DA0" w:rsidP="006E3162">
            <w:pPr>
              <w:jc w:val="center"/>
            </w:pPr>
            <w:r>
              <w:t>-</w:t>
            </w:r>
          </w:p>
        </w:tc>
        <w:tc>
          <w:tcPr>
            <w:tcW w:w="2407" w:type="dxa"/>
            <w:vAlign w:val="center"/>
          </w:tcPr>
          <w:p w14:paraId="37343A3D" w14:textId="77777777" w:rsidR="005B1735" w:rsidRDefault="00C02DA0" w:rsidP="006E3162">
            <w:pPr>
              <w:jc w:val="center"/>
            </w:pPr>
            <w:r>
              <w:t>1.017 (.998, 1.037</w:t>
            </w:r>
          </w:p>
        </w:tc>
        <w:tc>
          <w:tcPr>
            <w:tcW w:w="2407" w:type="dxa"/>
            <w:vAlign w:val="center"/>
          </w:tcPr>
          <w:p w14:paraId="69AB1611" w14:textId="77777777" w:rsidR="005B1735" w:rsidRDefault="00C02DA0" w:rsidP="006E3162">
            <w:pPr>
              <w:jc w:val="center"/>
            </w:pPr>
            <w:r>
              <w:t>1.001 (.981, 1.022)</w:t>
            </w:r>
          </w:p>
        </w:tc>
        <w:tc>
          <w:tcPr>
            <w:tcW w:w="2407" w:type="dxa"/>
            <w:vAlign w:val="center"/>
          </w:tcPr>
          <w:p w14:paraId="637A7732" w14:textId="77777777" w:rsidR="005B1735" w:rsidRDefault="00277D0C" w:rsidP="006E3162">
            <w:pPr>
              <w:jc w:val="center"/>
            </w:pPr>
            <w:r>
              <w:t>1.009 (.991, 1.027)</w:t>
            </w:r>
          </w:p>
        </w:tc>
      </w:tr>
      <w:tr w:rsidR="005B1735" w14:paraId="0425616C" w14:textId="77777777" w:rsidTr="006E3162">
        <w:tc>
          <w:tcPr>
            <w:tcW w:w="3530" w:type="dxa"/>
          </w:tcPr>
          <w:p w14:paraId="4629EC06" w14:textId="77777777" w:rsidR="005B1735" w:rsidRPr="00B359EC" w:rsidRDefault="005B1735" w:rsidP="006E3162">
            <w:pPr>
              <w:spacing w:before="20" w:after="20"/>
              <w:rPr>
                <w:b/>
              </w:rPr>
            </w:pPr>
            <w:r w:rsidRPr="00B359EC">
              <w:rPr>
                <w:b/>
              </w:rPr>
              <w:t xml:space="preserve">Years waivered for 100 patients </w:t>
            </w:r>
          </w:p>
        </w:tc>
        <w:tc>
          <w:tcPr>
            <w:tcW w:w="2407" w:type="dxa"/>
            <w:vAlign w:val="center"/>
          </w:tcPr>
          <w:p w14:paraId="515083A9" w14:textId="77777777" w:rsidR="005B1735" w:rsidRDefault="00C02DA0" w:rsidP="006E3162">
            <w:pPr>
              <w:jc w:val="center"/>
            </w:pPr>
            <w:r>
              <w:t>-</w:t>
            </w:r>
          </w:p>
        </w:tc>
        <w:tc>
          <w:tcPr>
            <w:tcW w:w="2407" w:type="dxa"/>
            <w:vAlign w:val="center"/>
          </w:tcPr>
          <w:p w14:paraId="18D7D04D" w14:textId="77777777" w:rsidR="005B1735" w:rsidRPr="00EF34DF" w:rsidRDefault="00C02DA0" w:rsidP="006E3162">
            <w:pPr>
              <w:jc w:val="center"/>
              <w:rPr>
                <w:b/>
              </w:rPr>
            </w:pPr>
            <w:r>
              <w:rPr>
                <w:b/>
              </w:rPr>
              <w:t>.858 (.764, .964)</w:t>
            </w:r>
          </w:p>
        </w:tc>
        <w:tc>
          <w:tcPr>
            <w:tcW w:w="2407" w:type="dxa"/>
            <w:vAlign w:val="center"/>
          </w:tcPr>
          <w:p w14:paraId="2A5ECEA6" w14:textId="77777777" w:rsidR="005B1735" w:rsidRPr="00A45CF6" w:rsidRDefault="00C02DA0" w:rsidP="006E3162">
            <w:pPr>
              <w:jc w:val="center"/>
              <w:rPr>
                <w:b/>
              </w:rPr>
            </w:pPr>
            <w:r>
              <w:rPr>
                <w:b/>
              </w:rPr>
              <w:t>.787 (.680, .910)</w:t>
            </w:r>
          </w:p>
        </w:tc>
        <w:tc>
          <w:tcPr>
            <w:tcW w:w="2407" w:type="dxa"/>
            <w:vAlign w:val="center"/>
          </w:tcPr>
          <w:p w14:paraId="122A8462" w14:textId="77777777" w:rsidR="005B1735" w:rsidRPr="002D758E" w:rsidRDefault="00277D0C" w:rsidP="006E3162">
            <w:pPr>
              <w:jc w:val="center"/>
              <w:rPr>
                <w:b/>
              </w:rPr>
            </w:pPr>
            <w:r>
              <w:rPr>
                <w:b/>
              </w:rPr>
              <w:t>.834 (.727, .955)</w:t>
            </w:r>
          </w:p>
        </w:tc>
      </w:tr>
      <w:tr w:rsidR="005B1735" w14:paraId="71EB55D6" w14:textId="77777777" w:rsidTr="006E3162">
        <w:tc>
          <w:tcPr>
            <w:tcW w:w="3530" w:type="dxa"/>
          </w:tcPr>
          <w:p w14:paraId="29171A18" w14:textId="77777777" w:rsidR="005B1735" w:rsidRDefault="005B1735" w:rsidP="006E3162">
            <w:pPr>
              <w:spacing w:before="20" w:after="20"/>
              <w:rPr>
                <w:b/>
              </w:rPr>
            </w:pPr>
            <w:r>
              <w:rPr>
                <w:b/>
              </w:rPr>
              <w:t>Medical specialty</w:t>
            </w:r>
            <w:r>
              <w:rPr>
                <w:b/>
                <w:vertAlign w:val="superscript"/>
              </w:rPr>
              <w:t>5</w:t>
            </w:r>
            <w:r>
              <w:rPr>
                <w:b/>
              </w:rPr>
              <w:t>:</w:t>
            </w:r>
          </w:p>
          <w:p w14:paraId="7650C47C" w14:textId="77777777" w:rsidR="005B1735" w:rsidRPr="00B359EC" w:rsidRDefault="005B1735" w:rsidP="006E3162">
            <w:pPr>
              <w:spacing w:before="20" w:after="20"/>
              <w:rPr>
                <w:b/>
              </w:rPr>
            </w:pPr>
            <w:r>
              <w:rPr>
                <w:b/>
              </w:rPr>
              <w:t xml:space="preserve">     Physician - general</w:t>
            </w:r>
          </w:p>
        </w:tc>
        <w:tc>
          <w:tcPr>
            <w:tcW w:w="2407" w:type="dxa"/>
            <w:vAlign w:val="center"/>
          </w:tcPr>
          <w:p w14:paraId="138ECAFA" w14:textId="77777777" w:rsidR="005B1735" w:rsidRDefault="00C02DA0" w:rsidP="006E3162">
            <w:pPr>
              <w:jc w:val="center"/>
            </w:pPr>
            <w:r>
              <w:t>-</w:t>
            </w:r>
          </w:p>
        </w:tc>
        <w:tc>
          <w:tcPr>
            <w:tcW w:w="2407" w:type="dxa"/>
            <w:vAlign w:val="center"/>
          </w:tcPr>
          <w:p w14:paraId="680D8B18" w14:textId="77777777" w:rsidR="005B1735" w:rsidRDefault="00C02DA0" w:rsidP="006E3162">
            <w:pPr>
              <w:jc w:val="center"/>
            </w:pPr>
            <w:r>
              <w:t>1.330 (.313, 5.653)</w:t>
            </w:r>
          </w:p>
        </w:tc>
        <w:tc>
          <w:tcPr>
            <w:tcW w:w="2407" w:type="dxa"/>
            <w:vAlign w:val="center"/>
          </w:tcPr>
          <w:p w14:paraId="6A9E1359" w14:textId="77777777" w:rsidR="005B1735" w:rsidRDefault="00C02DA0" w:rsidP="006E3162">
            <w:pPr>
              <w:jc w:val="center"/>
            </w:pPr>
            <w:r>
              <w:t>.723 (.245, 2.139)</w:t>
            </w:r>
          </w:p>
        </w:tc>
        <w:tc>
          <w:tcPr>
            <w:tcW w:w="2407" w:type="dxa"/>
            <w:vAlign w:val="center"/>
          </w:tcPr>
          <w:p w14:paraId="4D59324B" w14:textId="77777777" w:rsidR="005B1735" w:rsidRDefault="00277D0C" w:rsidP="006E3162">
            <w:pPr>
              <w:jc w:val="center"/>
            </w:pPr>
            <w:r>
              <w:t>4.042 (.834, 19.601)</w:t>
            </w:r>
          </w:p>
        </w:tc>
      </w:tr>
      <w:tr w:rsidR="005B1735" w14:paraId="634F842F" w14:textId="77777777" w:rsidTr="006E3162">
        <w:tc>
          <w:tcPr>
            <w:tcW w:w="3530" w:type="dxa"/>
          </w:tcPr>
          <w:p w14:paraId="6C48F6D7" w14:textId="77777777" w:rsidR="005B1735" w:rsidRDefault="005B1735" w:rsidP="006E3162">
            <w:pPr>
              <w:spacing w:before="20" w:after="20"/>
              <w:rPr>
                <w:b/>
              </w:rPr>
            </w:pPr>
            <w:r>
              <w:rPr>
                <w:b/>
              </w:rPr>
              <w:t xml:space="preserve">     Physician – psychiatry &amp;    </w:t>
            </w:r>
          </w:p>
          <w:p w14:paraId="463278F0" w14:textId="77777777" w:rsidR="005B1735" w:rsidRPr="00B359EC" w:rsidRDefault="005B1735" w:rsidP="006E3162">
            <w:pPr>
              <w:spacing w:before="20" w:after="20"/>
              <w:rPr>
                <w:b/>
              </w:rPr>
            </w:pPr>
            <w:r>
              <w:rPr>
                <w:b/>
              </w:rPr>
              <w:t xml:space="preserve">     neurology</w:t>
            </w:r>
          </w:p>
        </w:tc>
        <w:tc>
          <w:tcPr>
            <w:tcW w:w="2407" w:type="dxa"/>
            <w:vAlign w:val="center"/>
          </w:tcPr>
          <w:p w14:paraId="19565925" w14:textId="77777777" w:rsidR="005B1735" w:rsidRDefault="00C02DA0" w:rsidP="006E3162">
            <w:pPr>
              <w:jc w:val="center"/>
            </w:pPr>
            <w:r>
              <w:t>-</w:t>
            </w:r>
          </w:p>
        </w:tc>
        <w:tc>
          <w:tcPr>
            <w:tcW w:w="2407" w:type="dxa"/>
            <w:vAlign w:val="center"/>
          </w:tcPr>
          <w:p w14:paraId="20A69EA2" w14:textId="77777777" w:rsidR="005B1735" w:rsidRDefault="00C02DA0" w:rsidP="006E3162">
            <w:pPr>
              <w:jc w:val="center"/>
            </w:pPr>
            <w:r>
              <w:t>1.593 (.364, 6.984)</w:t>
            </w:r>
          </w:p>
        </w:tc>
        <w:tc>
          <w:tcPr>
            <w:tcW w:w="2407" w:type="dxa"/>
            <w:vAlign w:val="center"/>
          </w:tcPr>
          <w:p w14:paraId="33207D8D" w14:textId="77777777" w:rsidR="005B1735" w:rsidRDefault="00C02DA0" w:rsidP="006E3162">
            <w:pPr>
              <w:jc w:val="center"/>
            </w:pPr>
            <w:r>
              <w:t>.649 (.200, 2.104)</w:t>
            </w:r>
          </w:p>
        </w:tc>
        <w:tc>
          <w:tcPr>
            <w:tcW w:w="2407" w:type="dxa"/>
            <w:vAlign w:val="center"/>
          </w:tcPr>
          <w:p w14:paraId="007D55C1" w14:textId="77777777" w:rsidR="005B1735" w:rsidRDefault="00277D0C" w:rsidP="006E3162">
            <w:pPr>
              <w:jc w:val="center"/>
            </w:pPr>
            <w:r>
              <w:t>3.316 (.610, 18.021)</w:t>
            </w:r>
          </w:p>
        </w:tc>
      </w:tr>
      <w:tr w:rsidR="005B1735" w14:paraId="2A21A645" w14:textId="77777777" w:rsidTr="006E3162">
        <w:tc>
          <w:tcPr>
            <w:tcW w:w="3530" w:type="dxa"/>
          </w:tcPr>
          <w:p w14:paraId="7C8EEC51" w14:textId="77777777" w:rsidR="005B1735" w:rsidRPr="00B359EC" w:rsidRDefault="005B1735" w:rsidP="006E3162">
            <w:pPr>
              <w:spacing w:before="20" w:after="20"/>
              <w:rPr>
                <w:b/>
              </w:rPr>
            </w:pPr>
            <w:r>
              <w:rPr>
                <w:b/>
              </w:rPr>
              <w:t xml:space="preserve">     Physician - other</w:t>
            </w:r>
          </w:p>
        </w:tc>
        <w:tc>
          <w:tcPr>
            <w:tcW w:w="2407" w:type="dxa"/>
            <w:vAlign w:val="center"/>
          </w:tcPr>
          <w:p w14:paraId="120CE4A7" w14:textId="77777777" w:rsidR="005B1735" w:rsidRDefault="00C02DA0" w:rsidP="006E3162">
            <w:pPr>
              <w:jc w:val="center"/>
            </w:pPr>
            <w:r>
              <w:t>-</w:t>
            </w:r>
          </w:p>
        </w:tc>
        <w:tc>
          <w:tcPr>
            <w:tcW w:w="2407" w:type="dxa"/>
            <w:vAlign w:val="center"/>
          </w:tcPr>
          <w:p w14:paraId="13AC8CA6" w14:textId="77777777" w:rsidR="005B1735" w:rsidRDefault="00C02DA0" w:rsidP="006E3162">
            <w:pPr>
              <w:jc w:val="center"/>
            </w:pPr>
            <w:r>
              <w:t>1.138 (.213, 6.088)</w:t>
            </w:r>
          </w:p>
        </w:tc>
        <w:tc>
          <w:tcPr>
            <w:tcW w:w="2407" w:type="dxa"/>
            <w:vAlign w:val="center"/>
          </w:tcPr>
          <w:p w14:paraId="5D9C75B3" w14:textId="77777777" w:rsidR="005B1735" w:rsidRDefault="00C02DA0" w:rsidP="006E3162">
            <w:pPr>
              <w:jc w:val="center"/>
            </w:pPr>
            <w:r>
              <w:t>.874 (.246, 3.099)</w:t>
            </w:r>
          </w:p>
        </w:tc>
        <w:tc>
          <w:tcPr>
            <w:tcW w:w="2407" w:type="dxa"/>
            <w:vAlign w:val="center"/>
          </w:tcPr>
          <w:p w14:paraId="565C331C" w14:textId="77777777" w:rsidR="005B1735" w:rsidRDefault="00277D0C" w:rsidP="006E3162">
            <w:pPr>
              <w:jc w:val="center"/>
            </w:pPr>
            <w:r>
              <w:t>4.222 (.714, 24.973)</w:t>
            </w:r>
          </w:p>
        </w:tc>
      </w:tr>
      <w:tr w:rsidR="005B1735" w14:paraId="64F0D23C" w14:textId="77777777" w:rsidTr="006E3162">
        <w:tc>
          <w:tcPr>
            <w:tcW w:w="3530" w:type="dxa"/>
          </w:tcPr>
          <w:p w14:paraId="67F46A86" w14:textId="77777777" w:rsidR="005B1735" w:rsidRDefault="005B1735" w:rsidP="006E3162">
            <w:pPr>
              <w:spacing w:before="20" w:after="20"/>
              <w:rPr>
                <w:b/>
              </w:rPr>
            </w:pPr>
            <w:r>
              <w:rPr>
                <w:b/>
              </w:rPr>
              <w:t xml:space="preserve">     NP/PA</w:t>
            </w:r>
          </w:p>
        </w:tc>
        <w:tc>
          <w:tcPr>
            <w:tcW w:w="2407" w:type="dxa"/>
            <w:vAlign w:val="center"/>
          </w:tcPr>
          <w:p w14:paraId="26A77F22" w14:textId="77777777" w:rsidR="005B1735" w:rsidRDefault="00C02DA0" w:rsidP="006E3162">
            <w:pPr>
              <w:jc w:val="center"/>
            </w:pPr>
            <w:r>
              <w:t>-</w:t>
            </w:r>
          </w:p>
        </w:tc>
        <w:tc>
          <w:tcPr>
            <w:tcW w:w="2407" w:type="dxa"/>
            <w:vAlign w:val="center"/>
          </w:tcPr>
          <w:p w14:paraId="02C4F6C6" w14:textId="77777777" w:rsidR="005B1735" w:rsidRDefault="00C02DA0" w:rsidP="006E3162">
            <w:pPr>
              <w:jc w:val="center"/>
            </w:pPr>
            <w:r>
              <w:t>-</w:t>
            </w:r>
          </w:p>
        </w:tc>
        <w:tc>
          <w:tcPr>
            <w:tcW w:w="2407" w:type="dxa"/>
            <w:vAlign w:val="center"/>
          </w:tcPr>
          <w:p w14:paraId="593BBEFA" w14:textId="77777777" w:rsidR="005B1735" w:rsidRDefault="00C02DA0" w:rsidP="006E3162">
            <w:pPr>
              <w:jc w:val="center"/>
            </w:pPr>
            <w:r>
              <w:t>-</w:t>
            </w:r>
          </w:p>
        </w:tc>
        <w:tc>
          <w:tcPr>
            <w:tcW w:w="2407" w:type="dxa"/>
            <w:vAlign w:val="center"/>
          </w:tcPr>
          <w:p w14:paraId="641A6DBD" w14:textId="77777777" w:rsidR="005B1735" w:rsidRDefault="00277D0C" w:rsidP="006E3162">
            <w:pPr>
              <w:jc w:val="center"/>
            </w:pPr>
            <w:r>
              <w:t>3.458 (.663, 18.019)</w:t>
            </w:r>
          </w:p>
        </w:tc>
      </w:tr>
      <w:tr w:rsidR="005B1735" w14:paraId="5BA2BFC9" w14:textId="77777777" w:rsidTr="006E3162">
        <w:trPr>
          <w:trHeight w:val="368"/>
        </w:trPr>
        <w:tc>
          <w:tcPr>
            <w:tcW w:w="3530" w:type="dxa"/>
          </w:tcPr>
          <w:p w14:paraId="05BE3B31" w14:textId="77777777" w:rsidR="005B1735" w:rsidRPr="00B359EC" w:rsidRDefault="005B1735" w:rsidP="006E3162">
            <w:pPr>
              <w:spacing w:before="20" w:after="20"/>
              <w:rPr>
                <w:b/>
              </w:rPr>
            </w:pPr>
            <w:r w:rsidRPr="00B359EC">
              <w:rPr>
                <w:b/>
              </w:rPr>
              <w:t>Constant</w:t>
            </w:r>
          </w:p>
        </w:tc>
        <w:tc>
          <w:tcPr>
            <w:tcW w:w="2407" w:type="dxa"/>
            <w:vAlign w:val="center"/>
          </w:tcPr>
          <w:p w14:paraId="6DF16FC9" w14:textId="77777777" w:rsidR="005B1735" w:rsidRDefault="00C02DA0" w:rsidP="006E3162">
            <w:pPr>
              <w:jc w:val="center"/>
            </w:pPr>
            <w:r>
              <w:t>-</w:t>
            </w:r>
          </w:p>
        </w:tc>
        <w:tc>
          <w:tcPr>
            <w:tcW w:w="2407" w:type="dxa"/>
            <w:vAlign w:val="center"/>
          </w:tcPr>
          <w:p w14:paraId="625A5992" w14:textId="77777777" w:rsidR="005B1735" w:rsidRDefault="00C02DA0" w:rsidP="006E3162">
            <w:pPr>
              <w:jc w:val="center"/>
            </w:pPr>
            <w:r>
              <w:t>.004</w:t>
            </w:r>
          </w:p>
        </w:tc>
        <w:tc>
          <w:tcPr>
            <w:tcW w:w="2407" w:type="dxa"/>
            <w:vAlign w:val="center"/>
          </w:tcPr>
          <w:p w14:paraId="3F2B1114" w14:textId="77777777" w:rsidR="005B1735" w:rsidRDefault="00C02DA0" w:rsidP="006E3162">
            <w:pPr>
              <w:jc w:val="center"/>
            </w:pPr>
            <w:r>
              <w:t>.017</w:t>
            </w:r>
          </w:p>
        </w:tc>
        <w:tc>
          <w:tcPr>
            <w:tcW w:w="2407" w:type="dxa"/>
            <w:vAlign w:val="center"/>
          </w:tcPr>
          <w:p w14:paraId="723AFA57" w14:textId="77777777" w:rsidR="005B1735" w:rsidRPr="00277D0C" w:rsidRDefault="00277D0C" w:rsidP="006E3162">
            <w:pPr>
              <w:jc w:val="center"/>
            </w:pPr>
            <w:r w:rsidRPr="00277D0C">
              <w:t xml:space="preserve">.001 </w:t>
            </w:r>
          </w:p>
        </w:tc>
      </w:tr>
      <w:tr w:rsidR="005B1735" w14:paraId="7E39A27D" w14:textId="77777777" w:rsidTr="006E3162">
        <w:trPr>
          <w:trHeight w:val="29"/>
        </w:trPr>
        <w:tc>
          <w:tcPr>
            <w:tcW w:w="3530" w:type="dxa"/>
            <w:vAlign w:val="center"/>
          </w:tcPr>
          <w:p w14:paraId="0DA45651" w14:textId="77777777" w:rsidR="005B1735" w:rsidRPr="00B359EC" w:rsidRDefault="005B1735" w:rsidP="006E3162">
            <w:pPr>
              <w:jc w:val="center"/>
              <w:rPr>
                <w:b/>
              </w:rPr>
            </w:pPr>
          </w:p>
        </w:tc>
        <w:tc>
          <w:tcPr>
            <w:tcW w:w="2407" w:type="dxa"/>
            <w:vAlign w:val="center"/>
          </w:tcPr>
          <w:p w14:paraId="74902229" w14:textId="77777777" w:rsidR="005B1735" w:rsidRDefault="005B1735" w:rsidP="006E3162">
            <w:pPr>
              <w:jc w:val="center"/>
            </w:pPr>
          </w:p>
        </w:tc>
        <w:tc>
          <w:tcPr>
            <w:tcW w:w="2407" w:type="dxa"/>
            <w:vAlign w:val="center"/>
          </w:tcPr>
          <w:p w14:paraId="587B7CB3" w14:textId="77777777" w:rsidR="005B1735" w:rsidRDefault="005B1735" w:rsidP="006E3162">
            <w:pPr>
              <w:jc w:val="center"/>
            </w:pPr>
          </w:p>
        </w:tc>
        <w:tc>
          <w:tcPr>
            <w:tcW w:w="2407" w:type="dxa"/>
            <w:vAlign w:val="center"/>
          </w:tcPr>
          <w:p w14:paraId="146BB7F8" w14:textId="77777777" w:rsidR="005B1735" w:rsidRDefault="005B1735" w:rsidP="006E3162">
            <w:pPr>
              <w:jc w:val="center"/>
            </w:pPr>
          </w:p>
        </w:tc>
        <w:tc>
          <w:tcPr>
            <w:tcW w:w="2407" w:type="dxa"/>
            <w:vAlign w:val="center"/>
          </w:tcPr>
          <w:p w14:paraId="037D6FE0" w14:textId="77777777" w:rsidR="005B1735" w:rsidRDefault="005B1735" w:rsidP="006E3162">
            <w:pPr>
              <w:jc w:val="center"/>
            </w:pPr>
          </w:p>
        </w:tc>
      </w:tr>
      <w:tr w:rsidR="00277D0C" w14:paraId="2C989DEF" w14:textId="77777777" w:rsidTr="006E3162">
        <w:tc>
          <w:tcPr>
            <w:tcW w:w="3530" w:type="dxa"/>
          </w:tcPr>
          <w:p w14:paraId="041B8582" w14:textId="77777777" w:rsidR="00277D0C" w:rsidRPr="00B359EC" w:rsidRDefault="00277D0C" w:rsidP="006E3162">
            <w:pPr>
              <w:spacing w:before="20" w:after="20"/>
              <w:rPr>
                <w:b/>
              </w:rPr>
            </w:pPr>
            <w:r w:rsidRPr="00B359EC">
              <w:rPr>
                <w:b/>
              </w:rPr>
              <w:t>N</w:t>
            </w:r>
          </w:p>
        </w:tc>
        <w:tc>
          <w:tcPr>
            <w:tcW w:w="2407" w:type="dxa"/>
            <w:vAlign w:val="center"/>
          </w:tcPr>
          <w:p w14:paraId="2EDD7583" w14:textId="77777777" w:rsidR="00277D0C" w:rsidRDefault="00277D0C" w:rsidP="006E3162">
            <w:pPr>
              <w:jc w:val="center"/>
            </w:pPr>
          </w:p>
        </w:tc>
        <w:tc>
          <w:tcPr>
            <w:tcW w:w="2407" w:type="dxa"/>
            <w:vAlign w:val="center"/>
          </w:tcPr>
          <w:p w14:paraId="00F1FFA8" w14:textId="77777777" w:rsidR="00277D0C" w:rsidRDefault="00277D0C" w:rsidP="006E3162">
            <w:pPr>
              <w:jc w:val="center"/>
            </w:pPr>
            <w:r>
              <w:t>465</w:t>
            </w:r>
          </w:p>
        </w:tc>
        <w:tc>
          <w:tcPr>
            <w:tcW w:w="2407" w:type="dxa"/>
            <w:vAlign w:val="center"/>
          </w:tcPr>
          <w:p w14:paraId="5EE97412" w14:textId="77777777" w:rsidR="00277D0C" w:rsidRDefault="00277D0C" w:rsidP="006E3162">
            <w:pPr>
              <w:jc w:val="center"/>
            </w:pPr>
            <w:r>
              <w:t>468</w:t>
            </w:r>
          </w:p>
        </w:tc>
        <w:tc>
          <w:tcPr>
            <w:tcW w:w="2407" w:type="dxa"/>
            <w:vAlign w:val="center"/>
          </w:tcPr>
          <w:p w14:paraId="3D16BE8B" w14:textId="77777777" w:rsidR="00277D0C" w:rsidRDefault="00277D0C" w:rsidP="006E3162">
            <w:pPr>
              <w:jc w:val="center"/>
            </w:pPr>
            <w:r>
              <w:t>560</w:t>
            </w:r>
          </w:p>
        </w:tc>
      </w:tr>
      <w:tr w:rsidR="005B1735" w14:paraId="174CB6DF" w14:textId="77777777" w:rsidTr="006E3162">
        <w:tc>
          <w:tcPr>
            <w:tcW w:w="3530" w:type="dxa"/>
          </w:tcPr>
          <w:p w14:paraId="75EF9F94" w14:textId="77777777" w:rsidR="005B1735" w:rsidRPr="00B359EC" w:rsidRDefault="005B1735" w:rsidP="006E3162">
            <w:pPr>
              <w:spacing w:before="20" w:after="20"/>
              <w:rPr>
                <w:b/>
              </w:rPr>
            </w:pPr>
            <w:proofErr w:type="spellStart"/>
            <w:r w:rsidRPr="00B359EC">
              <w:rPr>
                <w:b/>
              </w:rPr>
              <w:t>Nagelkerke</w:t>
            </w:r>
            <w:proofErr w:type="spellEnd"/>
            <w:r w:rsidRPr="00B359EC">
              <w:rPr>
                <w:b/>
              </w:rPr>
              <w:t xml:space="preserve"> R</w:t>
            </w:r>
            <w:r w:rsidRPr="00B359EC">
              <w:rPr>
                <w:b/>
                <w:vertAlign w:val="superscript"/>
              </w:rPr>
              <w:t>2</w:t>
            </w:r>
          </w:p>
        </w:tc>
        <w:tc>
          <w:tcPr>
            <w:tcW w:w="2407" w:type="dxa"/>
            <w:vAlign w:val="center"/>
          </w:tcPr>
          <w:p w14:paraId="04C9F518" w14:textId="77777777" w:rsidR="005B1735" w:rsidRDefault="005B1735" w:rsidP="006E3162">
            <w:pPr>
              <w:jc w:val="center"/>
            </w:pPr>
          </w:p>
        </w:tc>
        <w:tc>
          <w:tcPr>
            <w:tcW w:w="2407" w:type="dxa"/>
            <w:vAlign w:val="center"/>
          </w:tcPr>
          <w:p w14:paraId="52CC44CD" w14:textId="77777777" w:rsidR="005B1735" w:rsidRDefault="00C02DA0" w:rsidP="006E3162">
            <w:pPr>
              <w:jc w:val="center"/>
            </w:pPr>
            <w:r>
              <w:t>.214</w:t>
            </w:r>
          </w:p>
        </w:tc>
        <w:tc>
          <w:tcPr>
            <w:tcW w:w="2407" w:type="dxa"/>
            <w:vAlign w:val="center"/>
          </w:tcPr>
          <w:p w14:paraId="01785753" w14:textId="77777777" w:rsidR="005B1735" w:rsidRDefault="00C02DA0" w:rsidP="006E3162">
            <w:pPr>
              <w:jc w:val="center"/>
            </w:pPr>
            <w:r>
              <w:t>.277</w:t>
            </w:r>
          </w:p>
        </w:tc>
        <w:tc>
          <w:tcPr>
            <w:tcW w:w="2407" w:type="dxa"/>
            <w:vAlign w:val="center"/>
          </w:tcPr>
          <w:p w14:paraId="00BABF62" w14:textId="77777777" w:rsidR="005B1735" w:rsidRDefault="00277D0C" w:rsidP="006E3162">
            <w:pPr>
              <w:jc w:val="center"/>
            </w:pPr>
            <w:r>
              <w:t>.216</w:t>
            </w:r>
          </w:p>
        </w:tc>
      </w:tr>
      <w:tr w:rsidR="005B1735" w14:paraId="4D939114" w14:textId="77777777" w:rsidTr="006E3162">
        <w:tc>
          <w:tcPr>
            <w:tcW w:w="3530" w:type="dxa"/>
          </w:tcPr>
          <w:p w14:paraId="751044B0" w14:textId="77777777" w:rsidR="005B1735" w:rsidRPr="00B359EC" w:rsidRDefault="005B1735" w:rsidP="006E3162">
            <w:pPr>
              <w:spacing w:before="20" w:after="20"/>
              <w:rPr>
                <w:b/>
              </w:rPr>
            </w:pPr>
            <w:r>
              <w:rPr>
                <w:b/>
              </w:rPr>
              <w:t xml:space="preserve">Hosmer and </w:t>
            </w:r>
            <w:proofErr w:type="spellStart"/>
            <w:r>
              <w:rPr>
                <w:b/>
              </w:rPr>
              <w:t>Lemeshow</w:t>
            </w:r>
            <w:proofErr w:type="spellEnd"/>
            <w:r>
              <w:rPr>
                <w:b/>
              </w:rPr>
              <w:t xml:space="preserve"> Test</w:t>
            </w:r>
          </w:p>
        </w:tc>
        <w:tc>
          <w:tcPr>
            <w:tcW w:w="2407" w:type="dxa"/>
            <w:vAlign w:val="center"/>
          </w:tcPr>
          <w:p w14:paraId="0C2803EC" w14:textId="77777777" w:rsidR="005B1735" w:rsidRDefault="005B1735" w:rsidP="006E3162">
            <w:pPr>
              <w:jc w:val="center"/>
            </w:pPr>
          </w:p>
        </w:tc>
        <w:tc>
          <w:tcPr>
            <w:tcW w:w="2407" w:type="dxa"/>
            <w:vAlign w:val="center"/>
          </w:tcPr>
          <w:p w14:paraId="762B26DC" w14:textId="77777777" w:rsidR="005B1735" w:rsidRDefault="00C02DA0" w:rsidP="006E3162">
            <w:pPr>
              <w:jc w:val="center"/>
            </w:pPr>
            <w:r>
              <w:t>.697</w:t>
            </w:r>
          </w:p>
        </w:tc>
        <w:tc>
          <w:tcPr>
            <w:tcW w:w="2407" w:type="dxa"/>
            <w:vAlign w:val="center"/>
          </w:tcPr>
          <w:p w14:paraId="707EB39D" w14:textId="77777777" w:rsidR="005B1735" w:rsidRDefault="00C02DA0" w:rsidP="006E3162">
            <w:pPr>
              <w:jc w:val="center"/>
            </w:pPr>
            <w:r>
              <w:t>.438</w:t>
            </w:r>
          </w:p>
        </w:tc>
        <w:tc>
          <w:tcPr>
            <w:tcW w:w="2407" w:type="dxa"/>
            <w:vAlign w:val="center"/>
          </w:tcPr>
          <w:p w14:paraId="47BD8B3D" w14:textId="77777777" w:rsidR="005B1735" w:rsidRDefault="00277D0C" w:rsidP="006E3162">
            <w:pPr>
              <w:jc w:val="center"/>
            </w:pPr>
            <w:r>
              <w:t>.143</w:t>
            </w:r>
          </w:p>
        </w:tc>
      </w:tr>
    </w:tbl>
    <w:p w14:paraId="31319804" w14:textId="77777777" w:rsidR="005B1735" w:rsidRDefault="005B1735" w:rsidP="005B1735">
      <w:pPr>
        <w:spacing w:before="120" w:after="0"/>
        <w:ind w:left="720" w:hanging="720"/>
      </w:pPr>
      <w:r>
        <w:t xml:space="preserve">Notes: </w:t>
      </w:r>
      <w:r>
        <w:tab/>
        <w:t>1. The pool of prescribers who are potential adopters of the 275-patient waiver is all prescribers waivered for 100 patients in the year prior to the column year who had at least one MOUD patient in that year. Independent variables are for the year prior to the column year.</w:t>
      </w:r>
    </w:p>
    <w:p w14:paraId="56A18C92" w14:textId="77777777" w:rsidR="005B1735" w:rsidRDefault="005B1735" w:rsidP="005B1735">
      <w:pPr>
        <w:spacing w:after="0"/>
        <w:ind w:left="720"/>
      </w:pPr>
      <w:r>
        <w:t>2. The regressions control for county variations in prescriber location via a dichotomous variable for each county (results not shown).</w:t>
      </w:r>
    </w:p>
    <w:p w14:paraId="0E9AA2F2" w14:textId="77777777" w:rsidR="005B1735" w:rsidRDefault="005B1735" w:rsidP="005B1735">
      <w:pPr>
        <w:spacing w:after="0"/>
        <w:ind w:left="720"/>
      </w:pPr>
      <w:r>
        <w:t xml:space="preserve">3. Odds ratios significant at the .05 level are shown in </w:t>
      </w:r>
      <w:r w:rsidRPr="008D099F">
        <w:rPr>
          <w:b/>
        </w:rPr>
        <w:t>bold</w:t>
      </w:r>
      <w:r>
        <w:t>.</w:t>
      </w:r>
    </w:p>
    <w:p w14:paraId="5D69D296" w14:textId="77777777" w:rsidR="005B1735" w:rsidRDefault="005B1735" w:rsidP="005B1735">
      <w:pPr>
        <w:spacing w:after="0"/>
        <w:ind w:left="720"/>
      </w:pPr>
      <w:r>
        <w:t>4. Medicaid data were not available for 2015.</w:t>
      </w:r>
    </w:p>
    <w:p w14:paraId="3FC0B8EE" w14:textId="77777777" w:rsidR="00E91F5F" w:rsidRDefault="005B1735" w:rsidP="005B1735">
      <w:pPr>
        <w:spacing w:after="0"/>
        <w:ind w:firstLine="720"/>
      </w:pPr>
      <w:r>
        <w:t>5. The reference category is specialty missing.</w:t>
      </w:r>
      <w:r w:rsidR="00E91F5F">
        <w:br w:type="page"/>
      </w:r>
    </w:p>
    <w:p w14:paraId="5F8366A3" w14:textId="77777777" w:rsidR="00E91F5F" w:rsidRPr="00766B98" w:rsidRDefault="00E91F5F" w:rsidP="00E91F5F">
      <w:pPr>
        <w:spacing w:after="0"/>
        <w:jc w:val="center"/>
        <w:rPr>
          <w:b/>
        </w:rPr>
      </w:pPr>
      <w:r w:rsidRPr="00766B98">
        <w:rPr>
          <w:b/>
        </w:rPr>
        <w:lastRenderedPageBreak/>
        <w:t xml:space="preserve">Figure </w:t>
      </w:r>
      <w:r w:rsidR="008C2357">
        <w:rPr>
          <w:b/>
        </w:rPr>
        <w:t>IV.</w:t>
      </w:r>
      <w:r w:rsidR="00BE1391">
        <w:rPr>
          <w:b/>
        </w:rPr>
        <w:t>4</w:t>
      </w:r>
      <w:r w:rsidRPr="00766B98">
        <w:rPr>
          <w:b/>
        </w:rPr>
        <w:t>: Prescribers waivered for 100 patients through 2018: Number of shared-patient ties of at least 10 patients and percent of each group that became waivered for 275 patients in the first 8 months of 2019</w:t>
      </w:r>
    </w:p>
    <w:p w14:paraId="4F0575CC" w14:textId="77777777" w:rsidR="00E91F5F" w:rsidRDefault="00E91F5F" w:rsidP="00E91F5F">
      <w:pPr>
        <w:jc w:val="center"/>
      </w:pPr>
    </w:p>
    <w:p w14:paraId="1F84F33F" w14:textId="77777777" w:rsidR="00E91F5F" w:rsidRDefault="00E91F5F" w:rsidP="00E91F5F">
      <w:pPr>
        <w:jc w:val="center"/>
        <w:sectPr w:rsidR="00E91F5F" w:rsidSect="00E91F5F">
          <w:pgSz w:w="15840" w:h="12240" w:orient="landscape"/>
          <w:pgMar w:top="1440" w:right="1440" w:bottom="1440" w:left="1440" w:header="720" w:footer="720" w:gutter="0"/>
          <w:cols w:space="720"/>
          <w:docGrid w:linePitch="360"/>
        </w:sectPr>
      </w:pPr>
      <w:r w:rsidRPr="00766B98">
        <w:rPr>
          <w:noProof/>
        </w:rPr>
        <w:drawing>
          <wp:inline distT="0" distB="0" distL="0" distR="0" wp14:anchorId="0DD2195A" wp14:editId="502351FC">
            <wp:extent cx="5943600" cy="4315460"/>
            <wp:effectExtent l="0" t="0" r="1905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746D16" w14:textId="77777777" w:rsidR="00E91F5F" w:rsidRPr="00E91F5F" w:rsidRDefault="00E91F5F" w:rsidP="00E91F5F">
      <w:pPr>
        <w:pStyle w:val="ListParagraph"/>
        <w:numPr>
          <w:ilvl w:val="0"/>
          <w:numId w:val="7"/>
        </w:numPr>
        <w:tabs>
          <w:tab w:val="left" w:pos="900"/>
        </w:tabs>
        <w:rPr>
          <w:b/>
        </w:rPr>
      </w:pPr>
      <w:r>
        <w:rPr>
          <w:b/>
        </w:rPr>
        <w:lastRenderedPageBreak/>
        <w:t>T</w:t>
      </w:r>
      <w:r w:rsidRPr="00E91F5F">
        <w:rPr>
          <w:b/>
        </w:rPr>
        <w:t>reatment duration</w:t>
      </w:r>
    </w:p>
    <w:p w14:paraId="6F89BD7B" w14:textId="77777777" w:rsidR="00E91F5F" w:rsidRDefault="00056658" w:rsidP="00E91F5F">
      <w:pPr>
        <w:tabs>
          <w:tab w:val="left" w:pos="900"/>
        </w:tabs>
      </w:pPr>
      <w:r>
        <w:t>Our goal was to assess how patient, county and prescriber characteristics were associated with duration of Buprenorphine treatment. In particular, to examine whether there were racial/ethnic disparities in MOUD treatment duration. Patients who remain in treatment longer tend to have better outcomes.</w:t>
      </w:r>
      <w:r>
        <w:rPr>
          <w:rStyle w:val="FootnoteReference"/>
        </w:rPr>
        <w:footnoteReference w:id="40"/>
      </w:r>
      <w:r>
        <w:t xml:space="preserve"> </w:t>
      </w:r>
    </w:p>
    <w:p w14:paraId="12370562" w14:textId="77777777" w:rsidR="00211489" w:rsidRPr="00211489" w:rsidRDefault="00211489" w:rsidP="00E91F5F">
      <w:pPr>
        <w:tabs>
          <w:tab w:val="left" w:pos="900"/>
        </w:tabs>
        <w:rPr>
          <w:b/>
        </w:rPr>
      </w:pPr>
      <w:r w:rsidRPr="00211489">
        <w:rPr>
          <w:b/>
        </w:rPr>
        <w:t>Methods</w:t>
      </w:r>
    </w:p>
    <w:p w14:paraId="63D63114" w14:textId="77777777" w:rsidR="00706488" w:rsidRDefault="00706488" w:rsidP="00706488">
      <w:r>
        <w:t xml:space="preserve">The original sample consisted of 99,155 patients of buprenorphine-waivered Massachusetts prescribers with a Buprenorphine Naïve prescription between April 1, 2011 and December 31, 2018. A Buprenorphine naïve prescription is one which occurs after 30 days without a buprenorphine prescription. Excluded were 181 patients missing demographic data, 206 under 18 years old and 2,560 over 60, 4844 from Nantucket and Dukes County (which each had too few waivered prescribers to be included in the county-level analyses), 21,612 who were prescribed by smaller providers with fewer than 10 patients, 1,229 with missing count of prescriber ties or waiver number and 1,272 missing prescriber specialty data. This yielded a sample of 67,251 people.   </w:t>
      </w:r>
    </w:p>
    <w:p w14:paraId="2B25BA1D" w14:textId="77777777" w:rsidR="00706488" w:rsidRDefault="00706488" w:rsidP="00706488">
      <w:r>
        <w:t>Our goal was to analyze the association of patient, county and prescriber characteristics with duration of buprenorphine treatment. We used the following patient variables: (1) gender recorded at buprenorphine prescription, (2) age recorded at buprenorphine prescription, and (3) number of providers per patient in a year.  County variables included: (1) percentage of blacks in county of patient residence, and (2) percentage of Hispanics in county of patient residence.  Provider variables included: (1) provider specialty, (2) number of patients waivered for (30, 100, 275), and (3) number of prescriber shared-ties (of 10 or more patients in a year) for each prescriber. The following variables were time varying covariates</w:t>
      </w:r>
      <w:r w:rsidR="00B84273">
        <w:t>:</w:t>
      </w:r>
      <w:r>
        <w:t xml:space="preserve"> </w:t>
      </w:r>
      <w:r w:rsidR="00B84273">
        <w:t>n</w:t>
      </w:r>
      <w:r>
        <w:t>umber of providers per patient in a year, number of patients waivered for, number of prescriber ties for each prescriber. Th</w:t>
      </w:r>
      <w:r w:rsidR="00B84273">
        <w:t>ese variables</w:t>
      </w:r>
      <w:r>
        <w:t xml:space="preserve"> varied over time if a patient was in treatment for more than one calendar year.</w:t>
      </w:r>
    </w:p>
    <w:p w14:paraId="6161A8F3" w14:textId="77777777" w:rsidR="00706488" w:rsidRDefault="00706488" w:rsidP="00706488">
      <w:r>
        <w:t xml:space="preserve">In </w:t>
      </w:r>
      <w:r w:rsidR="00F51722">
        <w:t>related</w:t>
      </w:r>
      <w:r>
        <w:t xml:space="preserve"> models, continuous independent variables were replaced by categorical variables </w:t>
      </w:r>
      <w:r w:rsidR="00F51722">
        <w:t>to elucidate some interpretations</w:t>
      </w:r>
      <w:r>
        <w:t xml:space="preserve">. Age was divided into four clinically meaningful categories: 18-29, 30-39, 40-49, 50-60. Other variables were split into three categories (low, medium and high) based on terciles as follows:  percent Hispanic </w:t>
      </w:r>
      <w:proofErr w:type="gramStart"/>
      <w:r>
        <w:t>( &lt;</w:t>
      </w:r>
      <w:proofErr w:type="gramEnd"/>
      <w:r>
        <w:t xml:space="preserve"> 4.2%, 4.2%-8.6%, &gt;8.6%), percent Black (&lt; 3.1%, 3.1%-5.3%, &gt; 5.3%), number of presc</w:t>
      </w:r>
      <w:r w:rsidR="00F51722">
        <w:t>r</w:t>
      </w:r>
      <w:r>
        <w:t>ibers (1,2,3+)</w:t>
      </w:r>
      <w:r w:rsidR="00F51722">
        <w:t>,</w:t>
      </w:r>
      <w:r>
        <w:t xml:space="preserve"> and shared prescriber ties (0, 1-2, 3+). Because there was a large gap between 11% and 20% for the percent Black variable, we created an additional three-category variable for percent Black (&lt; 3.1%, 3.1%-11%,</w:t>
      </w:r>
      <w:r w:rsidR="0090134A">
        <w:t xml:space="preserve"> </w:t>
      </w:r>
      <w:r>
        <w:t xml:space="preserve">&gt;11%).  </w:t>
      </w:r>
    </w:p>
    <w:p w14:paraId="7A9B57E0" w14:textId="77777777" w:rsidR="00706488" w:rsidRDefault="00706488" w:rsidP="00706488">
      <w:r>
        <w:t xml:space="preserve">The outcome of interest was time to end of </w:t>
      </w:r>
      <w:r w:rsidR="0090134A">
        <w:t>b</w:t>
      </w:r>
      <w:r>
        <w:t>uprenorphine treatment</w:t>
      </w:r>
      <w:r w:rsidR="0090134A">
        <w:t>,</w:t>
      </w:r>
      <w:r>
        <w:t xml:space="preserve"> or days between date of first </w:t>
      </w:r>
      <w:r w:rsidR="0090134A">
        <w:t>b</w:t>
      </w:r>
      <w:r>
        <w:t>uprenor</w:t>
      </w:r>
      <w:r w:rsidR="0090134A">
        <w:t>p</w:t>
      </w:r>
      <w:r>
        <w:t xml:space="preserve">hine naive prescription and end of </w:t>
      </w:r>
      <w:r w:rsidR="0090134A">
        <w:t>b</w:t>
      </w:r>
      <w:r>
        <w:t xml:space="preserve">uprenorphine treatment for that episode. We used Cox Proportional Hazards regression to examine the relationship between the independent variables and time to end of </w:t>
      </w:r>
      <w:r w:rsidR="0090134A">
        <w:t>b</w:t>
      </w:r>
      <w:r>
        <w:t xml:space="preserve">uprenorphine treatment. A conventional logistic model predicting any </w:t>
      </w:r>
      <w:r w:rsidR="0090134A">
        <w:t>b</w:t>
      </w:r>
      <w:r>
        <w:t>uprenorphine cessation during the period does not make maximum use of available information</w:t>
      </w:r>
      <w:r w:rsidR="0090134A">
        <w:t>;</w:t>
      </w:r>
      <w:r>
        <w:t xml:space="preserve"> that is, it does not consider time from baseline until end of treatment. The dependent variable in a Cox regression consists </w:t>
      </w:r>
      <w:r>
        <w:lastRenderedPageBreak/>
        <w:t xml:space="preserve">of two parts: an event indicator (end of </w:t>
      </w:r>
      <w:r w:rsidR="0090134A">
        <w:t>b</w:t>
      </w:r>
      <w:r>
        <w:t xml:space="preserve">uprenorphine treatment in our study) and time until occurrence of the event. Censoring occurs when a person does not end treatment by the end of the study. In this analysis, anyone who did not end treatment by December 31, 2019 was censored because they did not have an outcome by the end of the study. They were marked as censored and given a time equal to the number of days between entry and December 31, 2019.  </w:t>
      </w:r>
    </w:p>
    <w:p w14:paraId="34873844" w14:textId="77777777" w:rsidR="00706488" w:rsidRDefault="00706488" w:rsidP="00706488">
      <w:r>
        <w:t xml:space="preserve">Hazard rates measure the risk of ending treatment within a time interval given that the person survived up until the beginning of that interval. The hazard rate for end of </w:t>
      </w:r>
      <w:r w:rsidR="0090134A">
        <w:t>b</w:t>
      </w:r>
      <w:r>
        <w:t>uprenorphine treatment after a particular period of time, say thirty days, is the number of people ending treatment in those thirty days divided by the number of people still in treatment after 30 days. We are interested in the hazard ratio for each variable (e.g</w:t>
      </w:r>
      <w:r w:rsidR="0090134A">
        <w:t>.,</w:t>
      </w:r>
      <w:r>
        <w:t xml:space="preserve"> female)</w:t>
      </w:r>
      <w:r w:rsidR="0090134A">
        <w:t>,</w:t>
      </w:r>
      <w:r>
        <w:t xml:space="preserve"> which is the hazard rate of that variable divided by the hazard rate of the controls (e.g. males). A hazard ratio of one indicates that the risk of ending treatment is the same for both groups. A hazard ratio of more than one indicates that the risk of ending treatment for females is higher. A hazard ratio of less than one indicates the risk of ending treatment for females is lower, that is, being female would be associated with longer duration.   </w:t>
      </w:r>
    </w:p>
    <w:p w14:paraId="42866756" w14:textId="77777777" w:rsidR="00706488" w:rsidRDefault="00706488" w:rsidP="00706488">
      <w:r>
        <w:t xml:space="preserve">The data were structured to incorporate the time varying nature of variables. For example, a patient who was in treatment from 2012-2016 would have five different values for number of prescribers, one for each year in treatment. However, that patient is only counted as one observation just as if they had only one year of treatment. Additionally, since patients with the same prescriber likely have correlated durations of treatment, the analysis clustered on prescribers resulting in a robust estimate of variance for coefficients. </w:t>
      </w:r>
    </w:p>
    <w:p w14:paraId="393737E4" w14:textId="77777777" w:rsidR="0090134A" w:rsidRDefault="00706488" w:rsidP="00706488">
      <w:pPr>
        <w:tabs>
          <w:tab w:val="left" w:pos="900"/>
        </w:tabs>
      </w:pPr>
      <w:r>
        <w:t>Cox regression is a semi-parametric model which assumes non-informative censoring, that is, censoring is random. It also assumes proportional hazards</w:t>
      </w:r>
      <w:r w:rsidR="0090134A">
        <w:t>,</w:t>
      </w:r>
      <w:r>
        <w:t xml:space="preserve"> which implies that the hazard rates for males and females, for example, remains relatively constant at every time point after baseline.  </w:t>
      </w:r>
    </w:p>
    <w:p w14:paraId="16680404" w14:textId="77777777" w:rsidR="00E91F5F" w:rsidRPr="004A46E7" w:rsidRDefault="00AE5D61" w:rsidP="00706488">
      <w:pPr>
        <w:tabs>
          <w:tab w:val="left" w:pos="900"/>
        </w:tabs>
        <w:rPr>
          <w:b/>
        </w:rPr>
      </w:pPr>
      <w:r w:rsidRPr="004A46E7">
        <w:rPr>
          <w:b/>
        </w:rPr>
        <w:t>Results</w:t>
      </w:r>
    </w:p>
    <w:p w14:paraId="2F6ECD4B" w14:textId="77777777" w:rsidR="00AE5D61" w:rsidRDefault="00B05D89" w:rsidP="00B05D89">
      <w:pPr>
        <w:tabs>
          <w:tab w:val="left" w:pos="900"/>
        </w:tabs>
      </w:pPr>
      <w:r>
        <w:t>In the initial model (Table IV.</w:t>
      </w:r>
      <w:r w:rsidR="00E265DE">
        <w:t>5</w:t>
      </w:r>
      <w:r>
        <w:t>a), the following variables were associated with longer treatment duration: female, being older, having more prescribers, and having a primary prescriber who is waivered for 100 patients or for 275 patients. Living in a county with a higher percentage of black or of Hispanic residents was associated with shorter treatment duration, as was having a primary prescriber with more shared-patient ties (of at least 10 patients in a year), and having a primary prescriber who is a nurse practitioner or physician assistant.</w:t>
      </w:r>
      <w:r w:rsidR="00D75903">
        <w:t xml:space="preserve"> None of the medical specialties for primary prescriber was associated with higher or lower duration.</w:t>
      </w:r>
      <w:r>
        <w:t xml:space="preserve"> </w:t>
      </w:r>
    </w:p>
    <w:p w14:paraId="48C686CB" w14:textId="77777777" w:rsidR="00B05D89" w:rsidRDefault="00CD3381" w:rsidP="00B05D89">
      <w:pPr>
        <w:tabs>
          <w:tab w:val="left" w:pos="900"/>
        </w:tabs>
      </w:pPr>
      <w:r>
        <w:t>We examined these associations further in the second model (Table IV.</w:t>
      </w:r>
      <w:r w:rsidR="00E265DE">
        <w:t>5</w:t>
      </w:r>
      <w:r>
        <w:t xml:space="preserve">b), in which the predictor variables with multiple values were broken out into categories (with a dichotomous variable for each category). </w:t>
      </w:r>
      <w:r w:rsidR="00D75903">
        <w:t xml:space="preserve">Longer treatment duration was associated with older age groups: 50 – 60 year-olds had longer duration than 40 – 49 year-olds, who in turn had longer duration than 30 – 39 year-olds, who in turn had longer duration than 20 – 29 year-olds (reference category). Patients with three or more prescribers had longer duration than patients with two prescribers, who in turn had longer duration than patients with one prescriber. Patients whose primary prescriber had three or more shared-patient </w:t>
      </w:r>
      <w:r w:rsidR="00D75903">
        <w:lastRenderedPageBreak/>
        <w:t xml:space="preserve">ties had shorter treatment duration than patients whose primary prescriber had one or two shared-patient ties, and the latter had shorter duration than patients whose primary prescriber had no shared-patient ties. We further found that patients living in counties in the highest tercile of percent Hispanic residents had shorter duration than patients living in counties with a mid-level percent of Hispanic residents, who in turn had shorter duration than patients living in the lowest tercile of percent Hispanic residents. </w:t>
      </w:r>
      <w:r w:rsidR="00AA3481">
        <w:t>However, this pattern did not hold for percent of black residents. Patients living in the highest and mid-level county terciles of percent black residents did not have significantly shorter treatment duration than patients living in the lowest county tercile of percent black residents. Because this finding seemed to contradict the finding in Table IV.</w:t>
      </w:r>
      <w:r w:rsidR="004A3072">
        <w:t>5</w:t>
      </w:r>
      <w:r w:rsidR="00AA3481">
        <w:t>a, we examined the distribution of percent of black residents across counties. Suffolk County (primarily Boston) is an outlier, with more than 20% of residents self-reporting as black, non-Hispanic; the next highest county had 11% of residents as black. When we treated Suffolk County as its own category, contrasted with revised mid-level and low categories of percent black residents, we found that patients in Suffolk County had significantly shorter treatment duration than patients in either of the other two county categories, and patients in the mid-level category did not have shorter duration than patients in the lowest percent black residents category.</w:t>
      </w:r>
    </w:p>
    <w:p w14:paraId="032DFDB4" w14:textId="77777777" w:rsidR="004A3072" w:rsidRDefault="004A3072" w:rsidP="004A3072">
      <w:pPr>
        <w:tabs>
          <w:tab w:val="left" w:pos="900"/>
        </w:tabs>
      </w:pPr>
      <w:r>
        <w:t>Because being waivered for 100 or for 275 patients was associated with longer treatment duration, with the reference category being prescribers waivered for 30 patients, the finding that prescribers with more shared-patient ties were associated with shorter treatment duration probably applies mostly to prescribers waivered for 30 patients, since prescribers waivered for the higher patient limits tend to have more shared-patient ties. However, it’s not clear why prescribers waivered for 30 patients who have more shared-patient ties would be associated with shorter treatment duration.</w:t>
      </w:r>
    </w:p>
    <w:p w14:paraId="166AA1B5" w14:textId="77777777" w:rsidR="004A3072" w:rsidRDefault="004A3072" w:rsidP="004A3072">
      <w:pPr>
        <w:tabs>
          <w:tab w:val="left" w:pos="900"/>
        </w:tabs>
        <w:sectPr w:rsidR="004A3072" w:rsidSect="00E91F5F">
          <w:pgSz w:w="12240" w:h="15840"/>
          <w:pgMar w:top="1440" w:right="1440" w:bottom="1440" w:left="1440" w:header="720" w:footer="720" w:gutter="0"/>
          <w:cols w:space="720"/>
          <w:docGrid w:linePitch="360"/>
        </w:sectPr>
      </w:pPr>
    </w:p>
    <w:p w14:paraId="13CA62E4" w14:textId="77777777" w:rsidR="004761F9" w:rsidRDefault="004A10EA" w:rsidP="00F03081">
      <w:pPr>
        <w:tabs>
          <w:tab w:val="left" w:pos="900"/>
        </w:tabs>
        <w:ind w:left="720" w:hanging="720"/>
        <w:rPr>
          <w:b/>
        </w:rPr>
      </w:pPr>
      <w:r w:rsidRPr="004A10EA">
        <w:rPr>
          <w:b/>
        </w:rPr>
        <w:lastRenderedPageBreak/>
        <w:t>Table</w:t>
      </w:r>
      <w:r w:rsidR="00B05D89">
        <w:rPr>
          <w:b/>
        </w:rPr>
        <w:t>s</w:t>
      </w:r>
      <w:r w:rsidRPr="004A10EA">
        <w:rPr>
          <w:b/>
        </w:rPr>
        <w:t xml:space="preserve"> </w:t>
      </w:r>
      <w:r w:rsidR="008C2357">
        <w:rPr>
          <w:b/>
        </w:rPr>
        <w:t>IV.</w:t>
      </w:r>
      <w:r w:rsidR="00E265DE">
        <w:rPr>
          <w:b/>
        </w:rPr>
        <w:t>5</w:t>
      </w:r>
      <w:r w:rsidR="00B05D89">
        <w:rPr>
          <w:b/>
        </w:rPr>
        <w:t>a</w:t>
      </w:r>
      <w:r w:rsidR="00340FD8">
        <w:rPr>
          <w:b/>
        </w:rPr>
        <w:t xml:space="preserve"> and</w:t>
      </w:r>
      <w:r w:rsidR="00103BE8">
        <w:rPr>
          <w:b/>
        </w:rPr>
        <w:t xml:space="preserve"> IV.</w:t>
      </w:r>
      <w:r w:rsidR="00E265DE">
        <w:rPr>
          <w:b/>
        </w:rPr>
        <w:t>5</w:t>
      </w:r>
      <w:r w:rsidR="00B05D89">
        <w:rPr>
          <w:b/>
        </w:rPr>
        <w:t>b</w:t>
      </w:r>
      <w:r w:rsidRPr="004A10EA">
        <w:rPr>
          <w:b/>
        </w:rPr>
        <w:t>: Hazard Rate Analysis of Ending OUD Buprenorphine Treatment</w:t>
      </w:r>
    </w:p>
    <w:p w14:paraId="56408FE8" w14:textId="77777777" w:rsidR="00103BE8" w:rsidRDefault="00103BE8" w:rsidP="004A10EA">
      <w:pPr>
        <w:tabs>
          <w:tab w:val="left" w:pos="900"/>
        </w:tabs>
        <w:spacing w:after="0"/>
        <w:ind w:left="720" w:hanging="720"/>
        <w:rPr>
          <w:b/>
        </w:rPr>
      </w:pPr>
      <w:r>
        <w:rPr>
          <w:b/>
        </w:rPr>
        <w:t>IV.</w:t>
      </w:r>
      <w:r w:rsidR="00E265DE">
        <w:rPr>
          <w:b/>
        </w:rPr>
        <w:t>5</w:t>
      </w:r>
      <w:r w:rsidR="005B1735">
        <w:rPr>
          <w:b/>
        </w:rPr>
        <w:t>a</w:t>
      </w:r>
      <w:r>
        <w:rPr>
          <w:b/>
        </w:rPr>
        <w:t>: Patient age grouping, number of prescribers, percent black/Hispanic, and prescriber number of shared-patient ties collapsed into single variables</w:t>
      </w:r>
    </w:p>
    <w:p w14:paraId="05DD9146" w14:textId="77777777" w:rsidR="004A10EA" w:rsidRPr="004A10EA" w:rsidRDefault="004A10EA" w:rsidP="004A10EA">
      <w:pPr>
        <w:tabs>
          <w:tab w:val="left" w:pos="900"/>
        </w:tabs>
        <w:spacing w:after="0"/>
        <w:ind w:left="720" w:hanging="720"/>
        <w:rPr>
          <w:b/>
        </w:rPr>
      </w:pPr>
      <w:r>
        <w:rPr>
          <w:b/>
        </w:rPr>
        <w:t>Dependent variable: Time to end of treatment</w:t>
      </w:r>
    </w:p>
    <w:tbl>
      <w:tblPr>
        <w:tblStyle w:val="TableGrid"/>
        <w:tblW w:w="13454" w:type="dxa"/>
        <w:tblLook w:val="04A0" w:firstRow="1" w:lastRow="0" w:firstColumn="1" w:lastColumn="0" w:noHBand="0" w:noVBand="1"/>
      </w:tblPr>
      <w:tblGrid>
        <w:gridCol w:w="2160"/>
        <w:gridCol w:w="1882"/>
        <w:gridCol w:w="1882"/>
        <w:gridCol w:w="1882"/>
        <w:gridCol w:w="1882"/>
        <w:gridCol w:w="1883"/>
        <w:gridCol w:w="1883"/>
      </w:tblGrid>
      <w:tr w:rsidR="004A10EA" w14:paraId="7655FC83" w14:textId="77777777" w:rsidTr="004A10EA">
        <w:tc>
          <w:tcPr>
            <w:tcW w:w="2160" w:type="dxa"/>
            <w:vAlign w:val="center"/>
          </w:tcPr>
          <w:p w14:paraId="201AE3AD" w14:textId="77777777" w:rsidR="004A10EA" w:rsidRPr="00E52C9F" w:rsidRDefault="004A10EA" w:rsidP="004A10EA">
            <w:pPr>
              <w:jc w:val="center"/>
              <w:rPr>
                <w:b/>
              </w:rPr>
            </w:pPr>
            <w:r w:rsidRPr="00E52C9F">
              <w:rPr>
                <w:b/>
              </w:rPr>
              <w:t>Ind. variables</w:t>
            </w:r>
          </w:p>
        </w:tc>
        <w:tc>
          <w:tcPr>
            <w:tcW w:w="1882" w:type="dxa"/>
            <w:vAlign w:val="center"/>
          </w:tcPr>
          <w:p w14:paraId="429D34FF" w14:textId="77777777" w:rsidR="004A10EA" w:rsidRPr="00E52C9F" w:rsidRDefault="003D3BEB" w:rsidP="004A10EA">
            <w:pPr>
              <w:jc w:val="center"/>
              <w:rPr>
                <w:b/>
              </w:rPr>
            </w:pPr>
            <w:r>
              <w:rPr>
                <w:b/>
              </w:rPr>
              <w:t>Hazard ratio</w:t>
            </w:r>
          </w:p>
        </w:tc>
        <w:tc>
          <w:tcPr>
            <w:tcW w:w="1882" w:type="dxa"/>
            <w:vAlign w:val="center"/>
          </w:tcPr>
          <w:p w14:paraId="2406E99D" w14:textId="77777777" w:rsidR="004A10EA" w:rsidRPr="00E52C9F" w:rsidRDefault="003D3BEB" w:rsidP="004A10EA">
            <w:pPr>
              <w:jc w:val="center"/>
              <w:rPr>
                <w:b/>
              </w:rPr>
            </w:pPr>
            <w:r>
              <w:rPr>
                <w:b/>
              </w:rPr>
              <w:t xml:space="preserve">Robust </w:t>
            </w:r>
            <w:r w:rsidR="004A10EA">
              <w:rPr>
                <w:b/>
              </w:rPr>
              <w:t>Std. error</w:t>
            </w:r>
          </w:p>
        </w:tc>
        <w:tc>
          <w:tcPr>
            <w:tcW w:w="1882" w:type="dxa"/>
            <w:vAlign w:val="center"/>
          </w:tcPr>
          <w:p w14:paraId="383CF0BF" w14:textId="77777777" w:rsidR="004A10EA" w:rsidRPr="00E52C9F" w:rsidRDefault="004A10EA" w:rsidP="004A10EA">
            <w:pPr>
              <w:jc w:val="center"/>
              <w:rPr>
                <w:b/>
              </w:rPr>
            </w:pPr>
            <w:r>
              <w:rPr>
                <w:b/>
              </w:rPr>
              <w:t>P-value</w:t>
            </w:r>
          </w:p>
        </w:tc>
        <w:tc>
          <w:tcPr>
            <w:tcW w:w="1882" w:type="dxa"/>
            <w:vAlign w:val="center"/>
          </w:tcPr>
          <w:p w14:paraId="14EC9885" w14:textId="77777777" w:rsidR="004A10EA" w:rsidRPr="00E52C9F" w:rsidRDefault="003D3BEB" w:rsidP="004A10EA">
            <w:pPr>
              <w:jc w:val="center"/>
              <w:rPr>
                <w:b/>
              </w:rPr>
            </w:pPr>
            <w:r>
              <w:rPr>
                <w:b/>
              </w:rPr>
              <w:t>Hazard ratio</w:t>
            </w:r>
          </w:p>
        </w:tc>
        <w:tc>
          <w:tcPr>
            <w:tcW w:w="1883" w:type="dxa"/>
            <w:vAlign w:val="center"/>
          </w:tcPr>
          <w:p w14:paraId="53A3E495" w14:textId="77777777" w:rsidR="004A10EA" w:rsidRPr="00E52C9F" w:rsidRDefault="003D3BEB" w:rsidP="004A10EA">
            <w:pPr>
              <w:jc w:val="center"/>
              <w:rPr>
                <w:b/>
              </w:rPr>
            </w:pPr>
            <w:r>
              <w:rPr>
                <w:b/>
              </w:rPr>
              <w:t xml:space="preserve">Robust </w:t>
            </w:r>
            <w:r w:rsidR="004A10EA">
              <w:rPr>
                <w:b/>
              </w:rPr>
              <w:t>Std. error</w:t>
            </w:r>
          </w:p>
        </w:tc>
        <w:tc>
          <w:tcPr>
            <w:tcW w:w="1883" w:type="dxa"/>
            <w:vAlign w:val="center"/>
          </w:tcPr>
          <w:p w14:paraId="5184FFCB" w14:textId="77777777" w:rsidR="004A10EA" w:rsidRPr="00E52C9F" w:rsidRDefault="004A10EA" w:rsidP="004A10EA">
            <w:pPr>
              <w:jc w:val="center"/>
              <w:rPr>
                <w:b/>
              </w:rPr>
            </w:pPr>
            <w:r>
              <w:rPr>
                <w:b/>
              </w:rPr>
              <w:t>P-value</w:t>
            </w:r>
          </w:p>
        </w:tc>
      </w:tr>
      <w:tr w:rsidR="004A10EA" w14:paraId="3049B130" w14:textId="77777777" w:rsidTr="004A10EA">
        <w:tc>
          <w:tcPr>
            <w:tcW w:w="2160" w:type="dxa"/>
            <w:vAlign w:val="center"/>
          </w:tcPr>
          <w:p w14:paraId="5BC531C3" w14:textId="77777777" w:rsidR="004A10EA" w:rsidRDefault="002D2A09" w:rsidP="004A10EA">
            <w:r>
              <w:t>Gender (</w:t>
            </w:r>
            <w:r w:rsidR="003D3BEB">
              <w:t>Female</w:t>
            </w:r>
            <w:r>
              <w:t>)</w:t>
            </w:r>
          </w:p>
        </w:tc>
        <w:tc>
          <w:tcPr>
            <w:tcW w:w="1882" w:type="dxa"/>
            <w:vAlign w:val="center"/>
          </w:tcPr>
          <w:p w14:paraId="3712EF91" w14:textId="77777777" w:rsidR="004A10EA" w:rsidRPr="00FE0432" w:rsidRDefault="00FE0432" w:rsidP="0035534A">
            <w:pPr>
              <w:jc w:val="center"/>
              <w:rPr>
                <w:b/>
              </w:rPr>
            </w:pPr>
            <w:r w:rsidRPr="00FE0432">
              <w:rPr>
                <w:b/>
              </w:rPr>
              <w:t>.9</w:t>
            </w:r>
            <w:r w:rsidR="006E3162">
              <w:rPr>
                <w:b/>
              </w:rPr>
              <w:t>4</w:t>
            </w:r>
            <w:r w:rsidR="0035534A">
              <w:rPr>
                <w:b/>
              </w:rPr>
              <w:t>48</w:t>
            </w:r>
          </w:p>
        </w:tc>
        <w:tc>
          <w:tcPr>
            <w:tcW w:w="1882" w:type="dxa"/>
            <w:vAlign w:val="center"/>
          </w:tcPr>
          <w:p w14:paraId="6C7D4C77" w14:textId="77777777" w:rsidR="004A10EA" w:rsidRPr="00C3435B" w:rsidRDefault="00FE0432" w:rsidP="006E3162">
            <w:pPr>
              <w:jc w:val="center"/>
              <w:rPr>
                <w:b/>
              </w:rPr>
            </w:pPr>
            <w:r>
              <w:rPr>
                <w:b/>
              </w:rPr>
              <w:t>.0</w:t>
            </w:r>
            <w:r w:rsidR="006E3162">
              <w:rPr>
                <w:b/>
              </w:rPr>
              <w:t>095</w:t>
            </w:r>
          </w:p>
        </w:tc>
        <w:tc>
          <w:tcPr>
            <w:tcW w:w="1882" w:type="dxa"/>
            <w:vAlign w:val="center"/>
          </w:tcPr>
          <w:p w14:paraId="1DEB5350" w14:textId="77777777" w:rsidR="004A10EA" w:rsidRPr="00C3435B" w:rsidRDefault="00FE0432" w:rsidP="004A10EA">
            <w:pPr>
              <w:jc w:val="center"/>
              <w:rPr>
                <w:b/>
              </w:rPr>
            </w:pPr>
            <w:r>
              <w:rPr>
                <w:b/>
              </w:rPr>
              <w:t>&lt; .001</w:t>
            </w:r>
          </w:p>
        </w:tc>
        <w:tc>
          <w:tcPr>
            <w:tcW w:w="1882" w:type="dxa"/>
            <w:vAlign w:val="center"/>
          </w:tcPr>
          <w:p w14:paraId="67E7F50F" w14:textId="77777777" w:rsidR="004A10EA" w:rsidRPr="00C3435B" w:rsidRDefault="00A97D49" w:rsidP="006E3162">
            <w:pPr>
              <w:jc w:val="center"/>
              <w:rPr>
                <w:b/>
              </w:rPr>
            </w:pPr>
            <w:r>
              <w:rPr>
                <w:b/>
              </w:rPr>
              <w:t>.9</w:t>
            </w:r>
            <w:r w:rsidR="006E3162">
              <w:rPr>
                <w:b/>
              </w:rPr>
              <w:t>464</w:t>
            </w:r>
          </w:p>
        </w:tc>
        <w:tc>
          <w:tcPr>
            <w:tcW w:w="1883" w:type="dxa"/>
            <w:vAlign w:val="center"/>
          </w:tcPr>
          <w:p w14:paraId="48B127DA" w14:textId="77777777" w:rsidR="004A10EA" w:rsidRPr="00C3435B" w:rsidRDefault="00A97D49" w:rsidP="006E3162">
            <w:pPr>
              <w:jc w:val="center"/>
              <w:rPr>
                <w:b/>
              </w:rPr>
            </w:pPr>
            <w:r>
              <w:rPr>
                <w:b/>
              </w:rPr>
              <w:t>.0</w:t>
            </w:r>
            <w:r w:rsidR="006E3162">
              <w:rPr>
                <w:b/>
              </w:rPr>
              <w:t>095</w:t>
            </w:r>
          </w:p>
        </w:tc>
        <w:tc>
          <w:tcPr>
            <w:tcW w:w="1883" w:type="dxa"/>
            <w:vAlign w:val="center"/>
          </w:tcPr>
          <w:p w14:paraId="4F52A325" w14:textId="77777777" w:rsidR="004A10EA" w:rsidRPr="00C3435B" w:rsidRDefault="00A97D49" w:rsidP="004A10EA">
            <w:pPr>
              <w:jc w:val="center"/>
              <w:rPr>
                <w:b/>
              </w:rPr>
            </w:pPr>
            <w:r>
              <w:rPr>
                <w:b/>
              </w:rPr>
              <w:t>&lt; .001</w:t>
            </w:r>
          </w:p>
        </w:tc>
      </w:tr>
      <w:tr w:rsidR="004A10EA" w14:paraId="02793F4E" w14:textId="77777777" w:rsidTr="004A10EA">
        <w:tc>
          <w:tcPr>
            <w:tcW w:w="2160" w:type="dxa"/>
            <w:vAlign w:val="center"/>
          </w:tcPr>
          <w:p w14:paraId="161F43C0" w14:textId="77777777" w:rsidR="004A10EA" w:rsidRDefault="003D3BEB" w:rsidP="004A10EA">
            <w:r>
              <w:t>Age grouping</w:t>
            </w:r>
          </w:p>
        </w:tc>
        <w:tc>
          <w:tcPr>
            <w:tcW w:w="1882" w:type="dxa"/>
            <w:vAlign w:val="center"/>
          </w:tcPr>
          <w:p w14:paraId="4876D0E6" w14:textId="77777777" w:rsidR="004A10EA" w:rsidRPr="00C3435B" w:rsidRDefault="00FE0432" w:rsidP="0035534A">
            <w:pPr>
              <w:jc w:val="center"/>
              <w:rPr>
                <w:b/>
              </w:rPr>
            </w:pPr>
            <w:r>
              <w:rPr>
                <w:b/>
              </w:rPr>
              <w:t>.987</w:t>
            </w:r>
            <w:r w:rsidR="0035534A">
              <w:rPr>
                <w:b/>
              </w:rPr>
              <w:t>9</w:t>
            </w:r>
          </w:p>
        </w:tc>
        <w:tc>
          <w:tcPr>
            <w:tcW w:w="1882" w:type="dxa"/>
            <w:vAlign w:val="center"/>
          </w:tcPr>
          <w:p w14:paraId="1138F195" w14:textId="77777777" w:rsidR="004A10EA" w:rsidRPr="00C3435B" w:rsidRDefault="00FE0432" w:rsidP="004A10EA">
            <w:pPr>
              <w:jc w:val="center"/>
              <w:rPr>
                <w:b/>
              </w:rPr>
            </w:pPr>
            <w:r>
              <w:rPr>
                <w:b/>
              </w:rPr>
              <w:t>.0006</w:t>
            </w:r>
          </w:p>
        </w:tc>
        <w:tc>
          <w:tcPr>
            <w:tcW w:w="1882" w:type="dxa"/>
            <w:vAlign w:val="center"/>
          </w:tcPr>
          <w:p w14:paraId="5098956E" w14:textId="77777777" w:rsidR="004A10EA" w:rsidRPr="00C3435B" w:rsidRDefault="00FE0432" w:rsidP="004A10EA">
            <w:pPr>
              <w:jc w:val="center"/>
              <w:rPr>
                <w:b/>
              </w:rPr>
            </w:pPr>
            <w:r>
              <w:rPr>
                <w:b/>
              </w:rPr>
              <w:t>&lt; .001</w:t>
            </w:r>
          </w:p>
        </w:tc>
        <w:tc>
          <w:tcPr>
            <w:tcW w:w="1882" w:type="dxa"/>
            <w:vAlign w:val="center"/>
          </w:tcPr>
          <w:p w14:paraId="08A96E90" w14:textId="77777777" w:rsidR="004A10EA" w:rsidRPr="00C3435B" w:rsidRDefault="00A97D49" w:rsidP="006E3162">
            <w:pPr>
              <w:jc w:val="center"/>
              <w:rPr>
                <w:b/>
              </w:rPr>
            </w:pPr>
            <w:r>
              <w:rPr>
                <w:b/>
              </w:rPr>
              <w:t>.98</w:t>
            </w:r>
            <w:r w:rsidR="006E3162">
              <w:rPr>
                <w:b/>
              </w:rPr>
              <w:t>77</w:t>
            </w:r>
          </w:p>
        </w:tc>
        <w:tc>
          <w:tcPr>
            <w:tcW w:w="1883" w:type="dxa"/>
            <w:vAlign w:val="center"/>
          </w:tcPr>
          <w:p w14:paraId="6703365E" w14:textId="77777777" w:rsidR="004A10EA" w:rsidRPr="00C3435B" w:rsidRDefault="00A97D49" w:rsidP="004A10EA">
            <w:pPr>
              <w:jc w:val="center"/>
              <w:rPr>
                <w:b/>
              </w:rPr>
            </w:pPr>
            <w:r>
              <w:rPr>
                <w:b/>
              </w:rPr>
              <w:t>.0006</w:t>
            </w:r>
          </w:p>
        </w:tc>
        <w:tc>
          <w:tcPr>
            <w:tcW w:w="1883" w:type="dxa"/>
            <w:vAlign w:val="center"/>
          </w:tcPr>
          <w:p w14:paraId="0149ACDD" w14:textId="77777777" w:rsidR="004A10EA" w:rsidRPr="00C3435B" w:rsidRDefault="00A97D49" w:rsidP="004A10EA">
            <w:pPr>
              <w:jc w:val="center"/>
              <w:rPr>
                <w:b/>
              </w:rPr>
            </w:pPr>
            <w:r>
              <w:rPr>
                <w:b/>
              </w:rPr>
              <w:t>&lt; .001</w:t>
            </w:r>
          </w:p>
        </w:tc>
      </w:tr>
      <w:tr w:rsidR="004A10EA" w14:paraId="4E82D219" w14:textId="77777777" w:rsidTr="004A10EA">
        <w:tc>
          <w:tcPr>
            <w:tcW w:w="2160" w:type="dxa"/>
            <w:vAlign w:val="center"/>
          </w:tcPr>
          <w:p w14:paraId="007E3C7A" w14:textId="77777777" w:rsidR="004A10EA" w:rsidRDefault="003D3BEB" w:rsidP="004A10EA">
            <w:r>
              <w:t>Number of prescribers</w:t>
            </w:r>
          </w:p>
        </w:tc>
        <w:tc>
          <w:tcPr>
            <w:tcW w:w="1882" w:type="dxa"/>
            <w:vAlign w:val="center"/>
          </w:tcPr>
          <w:p w14:paraId="05E2C896" w14:textId="77777777" w:rsidR="004A10EA" w:rsidRPr="00C3435B" w:rsidRDefault="00FE0432" w:rsidP="0035534A">
            <w:pPr>
              <w:jc w:val="center"/>
              <w:rPr>
                <w:b/>
              </w:rPr>
            </w:pPr>
            <w:r>
              <w:rPr>
                <w:b/>
              </w:rPr>
              <w:t>.6</w:t>
            </w:r>
            <w:r w:rsidR="0035534A">
              <w:rPr>
                <w:b/>
              </w:rPr>
              <w:t>515</w:t>
            </w:r>
          </w:p>
        </w:tc>
        <w:tc>
          <w:tcPr>
            <w:tcW w:w="1882" w:type="dxa"/>
            <w:vAlign w:val="center"/>
          </w:tcPr>
          <w:p w14:paraId="6835C66D" w14:textId="77777777" w:rsidR="004A10EA" w:rsidRPr="00C3435B" w:rsidRDefault="00FE0432" w:rsidP="0035534A">
            <w:pPr>
              <w:jc w:val="center"/>
              <w:rPr>
                <w:b/>
              </w:rPr>
            </w:pPr>
            <w:r>
              <w:rPr>
                <w:b/>
              </w:rPr>
              <w:t>.006</w:t>
            </w:r>
            <w:r w:rsidR="0035534A">
              <w:rPr>
                <w:b/>
              </w:rPr>
              <w:t>6</w:t>
            </w:r>
          </w:p>
        </w:tc>
        <w:tc>
          <w:tcPr>
            <w:tcW w:w="1882" w:type="dxa"/>
            <w:vAlign w:val="center"/>
          </w:tcPr>
          <w:p w14:paraId="720A3816" w14:textId="77777777" w:rsidR="004A10EA" w:rsidRPr="00C3435B" w:rsidRDefault="00FE0432" w:rsidP="004A10EA">
            <w:pPr>
              <w:jc w:val="center"/>
              <w:rPr>
                <w:b/>
              </w:rPr>
            </w:pPr>
            <w:r>
              <w:rPr>
                <w:b/>
              </w:rPr>
              <w:t>&lt; .001</w:t>
            </w:r>
          </w:p>
        </w:tc>
        <w:tc>
          <w:tcPr>
            <w:tcW w:w="1882" w:type="dxa"/>
            <w:vAlign w:val="center"/>
          </w:tcPr>
          <w:p w14:paraId="0D168F5E" w14:textId="77777777" w:rsidR="004A10EA" w:rsidRPr="00C3435B" w:rsidRDefault="00A97D49" w:rsidP="006E3162">
            <w:pPr>
              <w:jc w:val="center"/>
              <w:rPr>
                <w:b/>
              </w:rPr>
            </w:pPr>
            <w:r>
              <w:rPr>
                <w:b/>
              </w:rPr>
              <w:t>.6</w:t>
            </w:r>
            <w:r w:rsidR="006E3162">
              <w:rPr>
                <w:b/>
              </w:rPr>
              <w:t>503</w:t>
            </w:r>
          </w:p>
        </w:tc>
        <w:tc>
          <w:tcPr>
            <w:tcW w:w="1883" w:type="dxa"/>
            <w:vAlign w:val="center"/>
          </w:tcPr>
          <w:p w14:paraId="3586C7DD" w14:textId="77777777" w:rsidR="004A10EA" w:rsidRPr="00C3435B" w:rsidRDefault="00A97D49" w:rsidP="006E3162">
            <w:pPr>
              <w:jc w:val="center"/>
              <w:rPr>
                <w:b/>
              </w:rPr>
            </w:pPr>
            <w:r>
              <w:rPr>
                <w:b/>
              </w:rPr>
              <w:t>.006</w:t>
            </w:r>
            <w:r w:rsidR="006E3162">
              <w:rPr>
                <w:b/>
              </w:rPr>
              <w:t>6</w:t>
            </w:r>
          </w:p>
        </w:tc>
        <w:tc>
          <w:tcPr>
            <w:tcW w:w="1883" w:type="dxa"/>
            <w:vAlign w:val="center"/>
          </w:tcPr>
          <w:p w14:paraId="0EAE4467" w14:textId="77777777" w:rsidR="004A10EA" w:rsidRPr="00C3435B" w:rsidRDefault="00A97D49" w:rsidP="004A10EA">
            <w:pPr>
              <w:jc w:val="center"/>
              <w:rPr>
                <w:b/>
              </w:rPr>
            </w:pPr>
            <w:r>
              <w:rPr>
                <w:b/>
              </w:rPr>
              <w:t>&lt; .001</w:t>
            </w:r>
          </w:p>
        </w:tc>
      </w:tr>
      <w:tr w:rsidR="004A10EA" w14:paraId="6995832A" w14:textId="77777777" w:rsidTr="004A10EA">
        <w:tc>
          <w:tcPr>
            <w:tcW w:w="2160" w:type="dxa"/>
            <w:vAlign w:val="center"/>
          </w:tcPr>
          <w:p w14:paraId="0BC2E925" w14:textId="77777777" w:rsidR="004A10EA" w:rsidRDefault="003D3BEB" w:rsidP="004A10EA">
            <w:r>
              <w:t>Percent black in patient county</w:t>
            </w:r>
          </w:p>
        </w:tc>
        <w:tc>
          <w:tcPr>
            <w:tcW w:w="1882" w:type="dxa"/>
            <w:vAlign w:val="center"/>
          </w:tcPr>
          <w:p w14:paraId="4F76DEAC" w14:textId="77777777" w:rsidR="004A10EA" w:rsidRPr="00C3435B" w:rsidRDefault="00FE0432" w:rsidP="0035534A">
            <w:pPr>
              <w:jc w:val="center"/>
              <w:rPr>
                <w:b/>
              </w:rPr>
            </w:pPr>
            <w:r>
              <w:rPr>
                <w:b/>
              </w:rPr>
              <w:t>2.</w:t>
            </w:r>
            <w:r w:rsidR="0035534A">
              <w:rPr>
                <w:b/>
              </w:rPr>
              <w:t>5934</w:t>
            </w:r>
          </w:p>
        </w:tc>
        <w:tc>
          <w:tcPr>
            <w:tcW w:w="1882" w:type="dxa"/>
            <w:vAlign w:val="center"/>
          </w:tcPr>
          <w:p w14:paraId="1E494919" w14:textId="77777777" w:rsidR="004A10EA" w:rsidRPr="00C3435B" w:rsidRDefault="00FE0432" w:rsidP="0035534A">
            <w:pPr>
              <w:jc w:val="center"/>
              <w:rPr>
                <w:b/>
              </w:rPr>
            </w:pPr>
            <w:r>
              <w:rPr>
                <w:b/>
              </w:rPr>
              <w:t>.5</w:t>
            </w:r>
            <w:r w:rsidR="0035534A">
              <w:rPr>
                <w:b/>
              </w:rPr>
              <w:t>163</w:t>
            </w:r>
          </w:p>
        </w:tc>
        <w:tc>
          <w:tcPr>
            <w:tcW w:w="1882" w:type="dxa"/>
            <w:vAlign w:val="center"/>
          </w:tcPr>
          <w:p w14:paraId="7C860B09" w14:textId="77777777" w:rsidR="004A10EA" w:rsidRPr="00C3435B" w:rsidRDefault="00FE0432" w:rsidP="004A10EA">
            <w:pPr>
              <w:jc w:val="center"/>
              <w:rPr>
                <w:b/>
              </w:rPr>
            </w:pPr>
            <w:r>
              <w:rPr>
                <w:b/>
              </w:rPr>
              <w:t>&lt; .001</w:t>
            </w:r>
          </w:p>
        </w:tc>
        <w:tc>
          <w:tcPr>
            <w:tcW w:w="1882" w:type="dxa"/>
            <w:vAlign w:val="center"/>
          </w:tcPr>
          <w:p w14:paraId="3D6258FF" w14:textId="77777777" w:rsidR="004A10EA" w:rsidRPr="00C3435B" w:rsidRDefault="00CB1EC1" w:rsidP="004A10EA">
            <w:pPr>
              <w:jc w:val="center"/>
              <w:rPr>
                <w:b/>
              </w:rPr>
            </w:pPr>
            <w:r>
              <w:rPr>
                <w:b/>
              </w:rPr>
              <w:t>-</w:t>
            </w:r>
          </w:p>
        </w:tc>
        <w:tc>
          <w:tcPr>
            <w:tcW w:w="1883" w:type="dxa"/>
            <w:vAlign w:val="center"/>
          </w:tcPr>
          <w:p w14:paraId="00FD0AE1" w14:textId="77777777" w:rsidR="004A10EA" w:rsidRPr="00C3435B" w:rsidRDefault="00CB1EC1" w:rsidP="004A10EA">
            <w:pPr>
              <w:jc w:val="center"/>
              <w:rPr>
                <w:b/>
              </w:rPr>
            </w:pPr>
            <w:r>
              <w:rPr>
                <w:b/>
              </w:rPr>
              <w:t>-</w:t>
            </w:r>
          </w:p>
        </w:tc>
        <w:tc>
          <w:tcPr>
            <w:tcW w:w="1883" w:type="dxa"/>
            <w:vAlign w:val="center"/>
          </w:tcPr>
          <w:p w14:paraId="0696FDDC" w14:textId="77777777" w:rsidR="004A10EA" w:rsidRPr="00C3435B" w:rsidRDefault="00CB1EC1" w:rsidP="004A10EA">
            <w:pPr>
              <w:jc w:val="center"/>
              <w:rPr>
                <w:b/>
              </w:rPr>
            </w:pPr>
            <w:r>
              <w:rPr>
                <w:b/>
              </w:rPr>
              <w:t>-</w:t>
            </w:r>
          </w:p>
        </w:tc>
      </w:tr>
      <w:tr w:rsidR="004A10EA" w14:paraId="675073F3" w14:textId="77777777" w:rsidTr="004A10EA">
        <w:tc>
          <w:tcPr>
            <w:tcW w:w="2160" w:type="dxa"/>
            <w:vAlign w:val="center"/>
          </w:tcPr>
          <w:p w14:paraId="27D5C7F8" w14:textId="77777777" w:rsidR="004A10EA" w:rsidRDefault="003D3BEB" w:rsidP="004A10EA">
            <w:r>
              <w:t>Percent Hispanic in patient county</w:t>
            </w:r>
          </w:p>
        </w:tc>
        <w:tc>
          <w:tcPr>
            <w:tcW w:w="1882" w:type="dxa"/>
            <w:vAlign w:val="center"/>
          </w:tcPr>
          <w:p w14:paraId="4F654A49" w14:textId="77777777" w:rsidR="004A10EA" w:rsidRPr="00C3435B" w:rsidRDefault="00CB1EC1" w:rsidP="004A10EA">
            <w:pPr>
              <w:jc w:val="center"/>
              <w:rPr>
                <w:b/>
              </w:rPr>
            </w:pPr>
            <w:r>
              <w:rPr>
                <w:b/>
              </w:rPr>
              <w:t>-</w:t>
            </w:r>
          </w:p>
        </w:tc>
        <w:tc>
          <w:tcPr>
            <w:tcW w:w="1882" w:type="dxa"/>
            <w:vAlign w:val="center"/>
          </w:tcPr>
          <w:p w14:paraId="7BDFC083" w14:textId="77777777" w:rsidR="004A10EA" w:rsidRPr="00C3435B" w:rsidRDefault="00CB1EC1" w:rsidP="004A10EA">
            <w:pPr>
              <w:jc w:val="center"/>
              <w:rPr>
                <w:b/>
              </w:rPr>
            </w:pPr>
            <w:r>
              <w:rPr>
                <w:b/>
              </w:rPr>
              <w:t>-</w:t>
            </w:r>
          </w:p>
        </w:tc>
        <w:tc>
          <w:tcPr>
            <w:tcW w:w="1882" w:type="dxa"/>
            <w:vAlign w:val="center"/>
          </w:tcPr>
          <w:p w14:paraId="51E9544E" w14:textId="77777777" w:rsidR="004A10EA" w:rsidRPr="00C3435B" w:rsidRDefault="00CB1EC1" w:rsidP="004A10EA">
            <w:pPr>
              <w:jc w:val="center"/>
              <w:rPr>
                <w:b/>
              </w:rPr>
            </w:pPr>
            <w:r>
              <w:rPr>
                <w:b/>
              </w:rPr>
              <w:t>-</w:t>
            </w:r>
          </w:p>
        </w:tc>
        <w:tc>
          <w:tcPr>
            <w:tcW w:w="1882" w:type="dxa"/>
            <w:vAlign w:val="center"/>
          </w:tcPr>
          <w:p w14:paraId="7F5411C5" w14:textId="77777777" w:rsidR="004A10EA" w:rsidRPr="00C3435B" w:rsidRDefault="00A97D49" w:rsidP="006E3162">
            <w:pPr>
              <w:jc w:val="center"/>
              <w:rPr>
                <w:b/>
              </w:rPr>
            </w:pPr>
            <w:r>
              <w:rPr>
                <w:b/>
              </w:rPr>
              <w:t>2.</w:t>
            </w:r>
            <w:r w:rsidR="006E3162">
              <w:rPr>
                <w:b/>
              </w:rPr>
              <w:t>5221</w:t>
            </w:r>
          </w:p>
        </w:tc>
        <w:tc>
          <w:tcPr>
            <w:tcW w:w="1883" w:type="dxa"/>
            <w:vAlign w:val="center"/>
          </w:tcPr>
          <w:p w14:paraId="573A9FD0" w14:textId="77777777" w:rsidR="004A10EA" w:rsidRPr="00C3435B" w:rsidRDefault="00A97D49" w:rsidP="006E3162">
            <w:pPr>
              <w:jc w:val="center"/>
              <w:rPr>
                <w:b/>
              </w:rPr>
            </w:pPr>
            <w:r>
              <w:rPr>
                <w:b/>
              </w:rPr>
              <w:t>.</w:t>
            </w:r>
            <w:r w:rsidR="006E3162">
              <w:rPr>
                <w:b/>
              </w:rPr>
              <w:t>4464</w:t>
            </w:r>
          </w:p>
        </w:tc>
        <w:tc>
          <w:tcPr>
            <w:tcW w:w="1883" w:type="dxa"/>
            <w:vAlign w:val="center"/>
          </w:tcPr>
          <w:p w14:paraId="7F11C21B" w14:textId="77777777" w:rsidR="004A10EA" w:rsidRPr="00C3435B" w:rsidRDefault="00A97D49" w:rsidP="004A10EA">
            <w:pPr>
              <w:jc w:val="center"/>
              <w:rPr>
                <w:b/>
              </w:rPr>
            </w:pPr>
            <w:r>
              <w:rPr>
                <w:b/>
              </w:rPr>
              <w:t>&lt; .001</w:t>
            </w:r>
          </w:p>
        </w:tc>
      </w:tr>
      <w:tr w:rsidR="004A10EA" w14:paraId="737798E1" w14:textId="77777777" w:rsidTr="004A10EA">
        <w:tc>
          <w:tcPr>
            <w:tcW w:w="2160" w:type="dxa"/>
            <w:vAlign w:val="center"/>
          </w:tcPr>
          <w:p w14:paraId="147D3215" w14:textId="77777777" w:rsidR="004A10EA" w:rsidRDefault="003D3BEB" w:rsidP="004A10EA">
            <w:r>
              <w:t>Primary prescriber has waiver for 100 patients</w:t>
            </w:r>
          </w:p>
        </w:tc>
        <w:tc>
          <w:tcPr>
            <w:tcW w:w="1882" w:type="dxa"/>
            <w:vAlign w:val="center"/>
          </w:tcPr>
          <w:p w14:paraId="21F70C53" w14:textId="77777777" w:rsidR="004A10EA" w:rsidRPr="00C3435B" w:rsidRDefault="00FE0432" w:rsidP="0035534A">
            <w:pPr>
              <w:jc w:val="center"/>
              <w:rPr>
                <w:b/>
              </w:rPr>
            </w:pPr>
            <w:r>
              <w:rPr>
                <w:b/>
              </w:rPr>
              <w:t>.8</w:t>
            </w:r>
            <w:r w:rsidR="0035534A">
              <w:rPr>
                <w:b/>
              </w:rPr>
              <w:t>439</w:t>
            </w:r>
          </w:p>
        </w:tc>
        <w:tc>
          <w:tcPr>
            <w:tcW w:w="1882" w:type="dxa"/>
            <w:vAlign w:val="center"/>
          </w:tcPr>
          <w:p w14:paraId="1DA08493" w14:textId="77777777" w:rsidR="004A10EA" w:rsidRPr="00C3435B" w:rsidRDefault="00FE0432" w:rsidP="0035534A">
            <w:pPr>
              <w:jc w:val="center"/>
              <w:rPr>
                <w:b/>
              </w:rPr>
            </w:pPr>
            <w:r>
              <w:rPr>
                <w:b/>
              </w:rPr>
              <w:t>.04</w:t>
            </w:r>
            <w:r w:rsidR="0035534A">
              <w:rPr>
                <w:b/>
              </w:rPr>
              <w:t>2</w:t>
            </w:r>
            <w:r>
              <w:rPr>
                <w:b/>
              </w:rPr>
              <w:t>0</w:t>
            </w:r>
          </w:p>
        </w:tc>
        <w:tc>
          <w:tcPr>
            <w:tcW w:w="1882" w:type="dxa"/>
            <w:vAlign w:val="center"/>
          </w:tcPr>
          <w:p w14:paraId="320ACCA0" w14:textId="77777777" w:rsidR="004A10EA" w:rsidRPr="00C3435B" w:rsidRDefault="00FE0432" w:rsidP="0035534A">
            <w:pPr>
              <w:jc w:val="center"/>
              <w:rPr>
                <w:b/>
              </w:rPr>
            </w:pPr>
            <w:r>
              <w:rPr>
                <w:b/>
              </w:rPr>
              <w:t>.0</w:t>
            </w:r>
            <w:r w:rsidR="0035534A">
              <w:rPr>
                <w:b/>
              </w:rPr>
              <w:t>01</w:t>
            </w:r>
          </w:p>
        </w:tc>
        <w:tc>
          <w:tcPr>
            <w:tcW w:w="1882" w:type="dxa"/>
            <w:vAlign w:val="center"/>
          </w:tcPr>
          <w:p w14:paraId="6358EC11" w14:textId="77777777" w:rsidR="004A10EA" w:rsidRPr="00C3435B" w:rsidRDefault="00A97D49" w:rsidP="006E3162">
            <w:pPr>
              <w:jc w:val="center"/>
              <w:rPr>
                <w:b/>
              </w:rPr>
            </w:pPr>
            <w:r>
              <w:rPr>
                <w:b/>
              </w:rPr>
              <w:t>.8</w:t>
            </w:r>
            <w:r w:rsidR="006E3162">
              <w:rPr>
                <w:b/>
              </w:rPr>
              <w:t>386</w:t>
            </w:r>
          </w:p>
        </w:tc>
        <w:tc>
          <w:tcPr>
            <w:tcW w:w="1883" w:type="dxa"/>
            <w:vAlign w:val="center"/>
          </w:tcPr>
          <w:p w14:paraId="65652F20" w14:textId="77777777" w:rsidR="004A10EA" w:rsidRPr="00C3435B" w:rsidRDefault="00A97D49" w:rsidP="006E3162">
            <w:pPr>
              <w:jc w:val="center"/>
              <w:rPr>
                <w:b/>
              </w:rPr>
            </w:pPr>
            <w:r>
              <w:rPr>
                <w:b/>
              </w:rPr>
              <w:t>.04</w:t>
            </w:r>
            <w:r w:rsidR="006E3162">
              <w:rPr>
                <w:b/>
              </w:rPr>
              <w:t>09</w:t>
            </w:r>
          </w:p>
        </w:tc>
        <w:tc>
          <w:tcPr>
            <w:tcW w:w="1883" w:type="dxa"/>
            <w:vAlign w:val="center"/>
          </w:tcPr>
          <w:p w14:paraId="75CDCE7D" w14:textId="77777777" w:rsidR="004A10EA" w:rsidRPr="00C3435B" w:rsidRDefault="00A97D49" w:rsidP="004A10EA">
            <w:pPr>
              <w:jc w:val="center"/>
              <w:rPr>
                <w:b/>
              </w:rPr>
            </w:pPr>
            <w:r>
              <w:rPr>
                <w:b/>
              </w:rPr>
              <w:t>.015</w:t>
            </w:r>
          </w:p>
        </w:tc>
      </w:tr>
      <w:tr w:rsidR="004A10EA" w14:paraId="47F6A2B5" w14:textId="77777777" w:rsidTr="004A10EA">
        <w:tc>
          <w:tcPr>
            <w:tcW w:w="2160" w:type="dxa"/>
            <w:vAlign w:val="center"/>
          </w:tcPr>
          <w:p w14:paraId="4E30D929" w14:textId="77777777" w:rsidR="004A10EA" w:rsidRDefault="003D3BEB" w:rsidP="004A10EA">
            <w:r>
              <w:t>Primary prescriber has waiver for 275 patients</w:t>
            </w:r>
          </w:p>
        </w:tc>
        <w:tc>
          <w:tcPr>
            <w:tcW w:w="1882" w:type="dxa"/>
            <w:vAlign w:val="center"/>
          </w:tcPr>
          <w:p w14:paraId="4307E99D" w14:textId="77777777" w:rsidR="004A10EA" w:rsidRPr="0035534A" w:rsidRDefault="00FE0432" w:rsidP="0035534A">
            <w:pPr>
              <w:jc w:val="center"/>
              <w:rPr>
                <w:b/>
              </w:rPr>
            </w:pPr>
            <w:r w:rsidRPr="0035534A">
              <w:rPr>
                <w:b/>
              </w:rPr>
              <w:t>.</w:t>
            </w:r>
            <w:r w:rsidR="0035534A" w:rsidRPr="0035534A">
              <w:rPr>
                <w:b/>
              </w:rPr>
              <w:t>8551</w:t>
            </w:r>
          </w:p>
        </w:tc>
        <w:tc>
          <w:tcPr>
            <w:tcW w:w="1882" w:type="dxa"/>
            <w:vAlign w:val="center"/>
          </w:tcPr>
          <w:p w14:paraId="2199FF35" w14:textId="77777777" w:rsidR="004A10EA" w:rsidRPr="0035534A" w:rsidRDefault="00FE0432" w:rsidP="0035534A">
            <w:pPr>
              <w:jc w:val="center"/>
              <w:rPr>
                <w:b/>
              </w:rPr>
            </w:pPr>
            <w:r w:rsidRPr="0035534A">
              <w:rPr>
                <w:b/>
              </w:rPr>
              <w:t>.0</w:t>
            </w:r>
            <w:r w:rsidR="0035534A" w:rsidRPr="0035534A">
              <w:rPr>
                <w:b/>
              </w:rPr>
              <w:t>472</w:t>
            </w:r>
          </w:p>
        </w:tc>
        <w:tc>
          <w:tcPr>
            <w:tcW w:w="1882" w:type="dxa"/>
            <w:vAlign w:val="center"/>
          </w:tcPr>
          <w:p w14:paraId="2BE05F8F" w14:textId="77777777" w:rsidR="004A10EA" w:rsidRPr="0035534A" w:rsidRDefault="00FE0432" w:rsidP="0035534A">
            <w:pPr>
              <w:jc w:val="center"/>
              <w:rPr>
                <w:b/>
              </w:rPr>
            </w:pPr>
            <w:r w:rsidRPr="0035534A">
              <w:rPr>
                <w:b/>
              </w:rPr>
              <w:t>.</w:t>
            </w:r>
            <w:r w:rsidR="0035534A" w:rsidRPr="0035534A">
              <w:rPr>
                <w:b/>
              </w:rPr>
              <w:t>005</w:t>
            </w:r>
          </w:p>
        </w:tc>
        <w:tc>
          <w:tcPr>
            <w:tcW w:w="1882" w:type="dxa"/>
            <w:vAlign w:val="center"/>
          </w:tcPr>
          <w:p w14:paraId="59BEB97B" w14:textId="77777777" w:rsidR="004A10EA" w:rsidRPr="006E3162" w:rsidRDefault="00A97D49" w:rsidP="006E3162">
            <w:pPr>
              <w:jc w:val="center"/>
              <w:rPr>
                <w:b/>
              </w:rPr>
            </w:pPr>
            <w:r w:rsidRPr="006E3162">
              <w:rPr>
                <w:b/>
              </w:rPr>
              <w:t>.</w:t>
            </w:r>
            <w:r w:rsidR="006E3162" w:rsidRPr="006E3162">
              <w:rPr>
                <w:b/>
              </w:rPr>
              <w:t>8545</w:t>
            </w:r>
          </w:p>
        </w:tc>
        <w:tc>
          <w:tcPr>
            <w:tcW w:w="1883" w:type="dxa"/>
            <w:vAlign w:val="center"/>
          </w:tcPr>
          <w:p w14:paraId="04DE76EF" w14:textId="77777777" w:rsidR="004A10EA" w:rsidRPr="006E3162" w:rsidRDefault="00A97D49" w:rsidP="006E3162">
            <w:pPr>
              <w:jc w:val="center"/>
              <w:rPr>
                <w:b/>
              </w:rPr>
            </w:pPr>
            <w:r w:rsidRPr="006E3162">
              <w:rPr>
                <w:b/>
              </w:rPr>
              <w:t>.0</w:t>
            </w:r>
            <w:r w:rsidR="006E3162" w:rsidRPr="006E3162">
              <w:rPr>
                <w:b/>
              </w:rPr>
              <w:t>465</w:t>
            </w:r>
          </w:p>
        </w:tc>
        <w:tc>
          <w:tcPr>
            <w:tcW w:w="1883" w:type="dxa"/>
            <w:vAlign w:val="center"/>
          </w:tcPr>
          <w:p w14:paraId="65855ABB" w14:textId="77777777" w:rsidR="004A10EA" w:rsidRPr="006E3162" w:rsidRDefault="00A97D49" w:rsidP="006E3162">
            <w:pPr>
              <w:jc w:val="center"/>
              <w:rPr>
                <w:b/>
              </w:rPr>
            </w:pPr>
            <w:r w:rsidRPr="006E3162">
              <w:rPr>
                <w:b/>
              </w:rPr>
              <w:t>.</w:t>
            </w:r>
            <w:r w:rsidR="006E3162" w:rsidRPr="006E3162">
              <w:rPr>
                <w:b/>
              </w:rPr>
              <w:t>004</w:t>
            </w:r>
          </w:p>
        </w:tc>
      </w:tr>
      <w:tr w:rsidR="003D3BEB" w14:paraId="64F46041" w14:textId="77777777" w:rsidTr="004A10EA">
        <w:tc>
          <w:tcPr>
            <w:tcW w:w="2160" w:type="dxa"/>
            <w:vAlign w:val="center"/>
          </w:tcPr>
          <w:p w14:paraId="5BCCCD5F" w14:textId="77777777" w:rsidR="003D3BEB" w:rsidRDefault="003D3BEB" w:rsidP="004A10EA">
            <w:r>
              <w:t>Primary prescriber number of shared-patient ties</w:t>
            </w:r>
          </w:p>
        </w:tc>
        <w:tc>
          <w:tcPr>
            <w:tcW w:w="1882" w:type="dxa"/>
            <w:vAlign w:val="center"/>
          </w:tcPr>
          <w:p w14:paraId="5AEFAAA0" w14:textId="77777777" w:rsidR="003D3BEB" w:rsidRPr="00C3435B" w:rsidRDefault="00FE0432" w:rsidP="0035534A">
            <w:pPr>
              <w:jc w:val="center"/>
              <w:rPr>
                <w:b/>
              </w:rPr>
            </w:pPr>
            <w:r>
              <w:rPr>
                <w:b/>
              </w:rPr>
              <w:t>1.0</w:t>
            </w:r>
            <w:r w:rsidR="0035534A">
              <w:rPr>
                <w:b/>
              </w:rPr>
              <w:t>472</w:t>
            </w:r>
          </w:p>
        </w:tc>
        <w:tc>
          <w:tcPr>
            <w:tcW w:w="1882" w:type="dxa"/>
            <w:vAlign w:val="center"/>
          </w:tcPr>
          <w:p w14:paraId="3771924B" w14:textId="77777777" w:rsidR="003D3BEB" w:rsidRPr="00C3435B" w:rsidRDefault="00FE0432" w:rsidP="0035534A">
            <w:pPr>
              <w:jc w:val="center"/>
              <w:rPr>
                <w:b/>
              </w:rPr>
            </w:pPr>
            <w:r>
              <w:rPr>
                <w:b/>
              </w:rPr>
              <w:t>.00</w:t>
            </w:r>
            <w:r w:rsidR="0035534A">
              <w:rPr>
                <w:b/>
              </w:rPr>
              <w:t>49</w:t>
            </w:r>
          </w:p>
        </w:tc>
        <w:tc>
          <w:tcPr>
            <w:tcW w:w="1882" w:type="dxa"/>
            <w:vAlign w:val="center"/>
          </w:tcPr>
          <w:p w14:paraId="1B061CBE" w14:textId="77777777" w:rsidR="003D3BEB" w:rsidRPr="00C3435B" w:rsidRDefault="00FE0432" w:rsidP="004A10EA">
            <w:pPr>
              <w:jc w:val="center"/>
              <w:rPr>
                <w:b/>
              </w:rPr>
            </w:pPr>
            <w:r>
              <w:rPr>
                <w:b/>
              </w:rPr>
              <w:t>&lt; .001</w:t>
            </w:r>
          </w:p>
        </w:tc>
        <w:tc>
          <w:tcPr>
            <w:tcW w:w="1882" w:type="dxa"/>
            <w:vAlign w:val="center"/>
          </w:tcPr>
          <w:p w14:paraId="5489622A" w14:textId="77777777" w:rsidR="003D3BEB" w:rsidRPr="00C3435B" w:rsidRDefault="00CF79C8" w:rsidP="006E3162">
            <w:pPr>
              <w:jc w:val="center"/>
              <w:rPr>
                <w:b/>
              </w:rPr>
            </w:pPr>
            <w:r>
              <w:rPr>
                <w:b/>
              </w:rPr>
              <w:t>1.04</w:t>
            </w:r>
            <w:r w:rsidR="006E3162">
              <w:rPr>
                <w:b/>
              </w:rPr>
              <w:t>48</w:t>
            </w:r>
          </w:p>
        </w:tc>
        <w:tc>
          <w:tcPr>
            <w:tcW w:w="1883" w:type="dxa"/>
            <w:vAlign w:val="center"/>
          </w:tcPr>
          <w:p w14:paraId="3587C77D" w14:textId="77777777" w:rsidR="003D3BEB" w:rsidRPr="00C3435B" w:rsidRDefault="00CF79C8" w:rsidP="006E3162">
            <w:pPr>
              <w:jc w:val="center"/>
              <w:rPr>
                <w:b/>
              </w:rPr>
            </w:pPr>
            <w:r>
              <w:rPr>
                <w:b/>
              </w:rPr>
              <w:t>.005</w:t>
            </w:r>
            <w:r w:rsidR="006E3162">
              <w:rPr>
                <w:b/>
              </w:rPr>
              <w:t>1</w:t>
            </w:r>
          </w:p>
        </w:tc>
        <w:tc>
          <w:tcPr>
            <w:tcW w:w="1883" w:type="dxa"/>
            <w:vAlign w:val="center"/>
          </w:tcPr>
          <w:p w14:paraId="34FCE545" w14:textId="77777777" w:rsidR="003D3BEB" w:rsidRPr="00C3435B" w:rsidRDefault="00CF79C8" w:rsidP="004A10EA">
            <w:pPr>
              <w:jc w:val="center"/>
              <w:rPr>
                <w:b/>
              </w:rPr>
            </w:pPr>
            <w:r>
              <w:rPr>
                <w:b/>
              </w:rPr>
              <w:t>&lt; .001</w:t>
            </w:r>
          </w:p>
        </w:tc>
      </w:tr>
      <w:tr w:rsidR="003D3BEB" w14:paraId="280457C8" w14:textId="77777777" w:rsidTr="004A10EA">
        <w:tc>
          <w:tcPr>
            <w:tcW w:w="2160" w:type="dxa"/>
            <w:vAlign w:val="center"/>
          </w:tcPr>
          <w:p w14:paraId="0E1D95CD" w14:textId="77777777" w:rsidR="003D3BEB" w:rsidRDefault="003D3BEB" w:rsidP="004A10EA">
            <w:r>
              <w:t>General physician</w:t>
            </w:r>
          </w:p>
        </w:tc>
        <w:tc>
          <w:tcPr>
            <w:tcW w:w="1882" w:type="dxa"/>
            <w:vAlign w:val="center"/>
          </w:tcPr>
          <w:p w14:paraId="20089A70" w14:textId="77777777" w:rsidR="003D3BEB" w:rsidRPr="00FE0432" w:rsidRDefault="00FE0432" w:rsidP="0035534A">
            <w:pPr>
              <w:jc w:val="center"/>
            </w:pPr>
            <w:r w:rsidRPr="00FE0432">
              <w:t>1.0</w:t>
            </w:r>
            <w:r w:rsidR="0035534A">
              <w:t>147</w:t>
            </w:r>
          </w:p>
        </w:tc>
        <w:tc>
          <w:tcPr>
            <w:tcW w:w="1882" w:type="dxa"/>
            <w:vAlign w:val="center"/>
          </w:tcPr>
          <w:p w14:paraId="051980AD" w14:textId="77777777" w:rsidR="003D3BEB" w:rsidRPr="00FE0432" w:rsidRDefault="00FE0432" w:rsidP="0035534A">
            <w:pPr>
              <w:jc w:val="center"/>
            </w:pPr>
            <w:r w:rsidRPr="00FE0432">
              <w:t>.0</w:t>
            </w:r>
            <w:r w:rsidR="0035534A">
              <w:t>456</w:t>
            </w:r>
          </w:p>
        </w:tc>
        <w:tc>
          <w:tcPr>
            <w:tcW w:w="1882" w:type="dxa"/>
            <w:vAlign w:val="center"/>
          </w:tcPr>
          <w:p w14:paraId="3E6A12FD" w14:textId="77777777" w:rsidR="003D3BEB" w:rsidRPr="00FE0432" w:rsidRDefault="00FE0432" w:rsidP="0035534A">
            <w:pPr>
              <w:jc w:val="center"/>
            </w:pPr>
            <w:r w:rsidRPr="00FE0432">
              <w:t>.</w:t>
            </w:r>
            <w:r w:rsidR="0035534A">
              <w:t>746</w:t>
            </w:r>
          </w:p>
        </w:tc>
        <w:tc>
          <w:tcPr>
            <w:tcW w:w="1882" w:type="dxa"/>
            <w:vAlign w:val="center"/>
          </w:tcPr>
          <w:p w14:paraId="066738D9" w14:textId="77777777" w:rsidR="003D3BEB" w:rsidRPr="00CF79C8" w:rsidRDefault="00CF79C8" w:rsidP="00A82530">
            <w:pPr>
              <w:jc w:val="center"/>
            </w:pPr>
            <w:r w:rsidRPr="00CF79C8">
              <w:t>1.0</w:t>
            </w:r>
            <w:r w:rsidR="00A82530">
              <w:t>024</w:t>
            </w:r>
          </w:p>
        </w:tc>
        <w:tc>
          <w:tcPr>
            <w:tcW w:w="1883" w:type="dxa"/>
            <w:vAlign w:val="center"/>
          </w:tcPr>
          <w:p w14:paraId="40FC9481" w14:textId="77777777" w:rsidR="003D3BEB" w:rsidRPr="00CF79C8" w:rsidRDefault="00CF79C8" w:rsidP="00A82530">
            <w:pPr>
              <w:jc w:val="center"/>
            </w:pPr>
            <w:r w:rsidRPr="00CF79C8">
              <w:t>.0</w:t>
            </w:r>
            <w:r w:rsidR="00A82530">
              <w:t>458</w:t>
            </w:r>
          </w:p>
        </w:tc>
        <w:tc>
          <w:tcPr>
            <w:tcW w:w="1883" w:type="dxa"/>
            <w:vAlign w:val="center"/>
          </w:tcPr>
          <w:p w14:paraId="34D9F121" w14:textId="77777777" w:rsidR="003D3BEB" w:rsidRPr="00CF79C8" w:rsidRDefault="00CF79C8" w:rsidP="00A82530">
            <w:pPr>
              <w:jc w:val="center"/>
            </w:pPr>
            <w:r w:rsidRPr="00CF79C8">
              <w:t>.</w:t>
            </w:r>
            <w:r w:rsidR="00A82530">
              <w:t>958</w:t>
            </w:r>
          </w:p>
        </w:tc>
      </w:tr>
      <w:tr w:rsidR="003D3BEB" w14:paraId="7FA540DB" w14:textId="77777777" w:rsidTr="004A10EA">
        <w:tc>
          <w:tcPr>
            <w:tcW w:w="2160" w:type="dxa"/>
            <w:vAlign w:val="center"/>
          </w:tcPr>
          <w:p w14:paraId="49A8507F" w14:textId="77777777" w:rsidR="003D3BEB" w:rsidRDefault="003D3BEB" w:rsidP="004A10EA">
            <w:r>
              <w:t>Psychiatrist or neurologist</w:t>
            </w:r>
          </w:p>
        </w:tc>
        <w:tc>
          <w:tcPr>
            <w:tcW w:w="1882" w:type="dxa"/>
            <w:vAlign w:val="center"/>
          </w:tcPr>
          <w:p w14:paraId="592504DB" w14:textId="77777777" w:rsidR="003D3BEB" w:rsidRPr="00FE0432" w:rsidRDefault="00FE0432" w:rsidP="0035534A">
            <w:pPr>
              <w:jc w:val="center"/>
            </w:pPr>
            <w:r w:rsidRPr="00FE0432">
              <w:t>.9</w:t>
            </w:r>
            <w:r w:rsidR="0035534A">
              <w:t>681</w:t>
            </w:r>
          </w:p>
        </w:tc>
        <w:tc>
          <w:tcPr>
            <w:tcW w:w="1882" w:type="dxa"/>
            <w:vAlign w:val="center"/>
          </w:tcPr>
          <w:p w14:paraId="7C3834E6" w14:textId="77777777" w:rsidR="003D3BEB" w:rsidRPr="00FE0432" w:rsidRDefault="00FE0432" w:rsidP="0035534A">
            <w:pPr>
              <w:jc w:val="center"/>
            </w:pPr>
            <w:r w:rsidRPr="00FE0432">
              <w:t>.0</w:t>
            </w:r>
            <w:r w:rsidR="0035534A">
              <w:t>488</w:t>
            </w:r>
          </w:p>
        </w:tc>
        <w:tc>
          <w:tcPr>
            <w:tcW w:w="1882" w:type="dxa"/>
            <w:vAlign w:val="center"/>
          </w:tcPr>
          <w:p w14:paraId="1352589D" w14:textId="77777777" w:rsidR="003D3BEB" w:rsidRPr="00FE0432" w:rsidRDefault="00FE0432" w:rsidP="0035534A">
            <w:pPr>
              <w:jc w:val="center"/>
            </w:pPr>
            <w:r w:rsidRPr="00FE0432">
              <w:t>.</w:t>
            </w:r>
            <w:r w:rsidR="0035534A">
              <w:t>520</w:t>
            </w:r>
          </w:p>
        </w:tc>
        <w:tc>
          <w:tcPr>
            <w:tcW w:w="1882" w:type="dxa"/>
            <w:vAlign w:val="center"/>
          </w:tcPr>
          <w:p w14:paraId="591E38A7" w14:textId="77777777" w:rsidR="003D3BEB" w:rsidRPr="00CF79C8" w:rsidRDefault="00CF79C8" w:rsidP="00A82530">
            <w:pPr>
              <w:jc w:val="center"/>
            </w:pPr>
            <w:r w:rsidRPr="00CF79C8">
              <w:t>.9</w:t>
            </w:r>
            <w:r w:rsidR="00A82530">
              <w:t>588</w:t>
            </w:r>
          </w:p>
        </w:tc>
        <w:tc>
          <w:tcPr>
            <w:tcW w:w="1883" w:type="dxa"/>
            <w:vAlign w:val="center"/>
          </w:tcPr>
          <w:p w14:paraId="777052A7" w14:textId="77777777" w:rsidR="003D3BEB" w:rsidRPr="00CF79C8" w:rsidRDefault="00CF79C8" w:rsidP="00A82530">
            <w:pPr>
              <w:jc w:val="center"/>
            </w:pPr>
            <w:r w:rsidRPr="00CF79C8">
              <w:t>.0</w:t>
            </w:r>
            <w:r w:rsidR="00A82530">
              <w:t>489</w:t>
            </w:r>
          </w:p>
        </w:tc>
        <w:tc>
          <w:tcPr>
            <w:tcW w:w="1883" w:type="dxa"/>
            <w:vAlign w:val="center"/>
          </w:tcPr>
          <w:p w14:paraId="2B1FD7C4" w14:textId="77777777" w:rsidR="003D3BEB" w:rsidRPr="00CF79C8" w:rsidRDefault="00CF79C8" w:rsidP="00A82530">
            <w:pPr>
              <w:jc w:val="center"/>
            </w:pPr>
            <w:r w:rsidRPr="00CF79C8">
              <w:t>.</w:t>
            </w:r>
            <w:r w:rsidR="00A82530">
              <w:t>410</w:t>
            </w:r>
          </w:p>
        </w:tc>
      </w:tr>
      <w:tr w:rsidR="003D3BEB" w14:paraId="4CE6ED31" w14:textId="77777777" w:rsidTr="004A10EA">
        <w:tc>
          <w:tcPr>
            <w:tcW w:w="2160" w:type="dxa"/>
            <w:vAlign w:val="center"/>
          </w:tcPr>
          <w:p w14:paraId="01B61CC8" w14:textId="77777777" w:rsidR="003D3BEB" w:rsidRDefault="003D3BEB" w:rsidP="004A10EA">
            <w:r>
              <w:t>Physician – other</w:t>
            </w:r>
          </w:p>
        </w:tc>
        <w:tc>
          <w:tcPr>
            <w:tcW w:w="1882" w:type="dxa"/>
            <w:vAlign w:val="center"/>
          </w:tcPr>
          <w:p w14:paraId="427AC4A7" w14:textId="77777777" w:rsidR="003D3BEB" w:rsidRPr="00FE0432" w:rsidRDefault="00FE0432" w:rsidP="0035534A">
            <w:pPr>
              <w:jc w:val="center"/>
            </w:pPr>
            <w:r w:rsidRPr="00FE0432">
              <w:t>1.</w:t>
            </w:r>
            <w:r w:rsidR="0035534A">
              <w:t>0509</w:t>
            </w:r>
          </w:p>
        </w:tc>
        <w:tc>
          <w:tcPr>
            <w:tcW w:w="1882" w:type="dxa"/>
            <w:vAlign w:val="center"/>
          </w:tcPr>
          <w:p w14:paraId="7AD703A6" w14:textId="77777777" w:rsidR="003D3BEB" w:rsidRPr="00FE0432" w:rsidRDefault="00FE0432" w:rsidP="0035534A">
            <w:pPr>
              <w:jc w:val="center"/>
            </w:pPr>
            <w:r w:rsidRPr="00FE0432">
              <w:t>.0</w:t>
            </w:r>
            <w:r w:rsidR="0035534A">
              <w:t>672</w:t>
            </w:r>
          </w:p>
        </w:tc>
        <w:tc>
          <w:tcPr>
            <w:tcW w:w="1882" w:type="dxa"/>
            <w:vAlign w:val="center"/>
          </w:tcPr>
          <w:p w14:paraId="25B3E500" w14:textId="77777777" w:rsidR="003D3BEB" w:rsidRPr="00FE0432" w:rsidRDefault="00FE0432" w:rsidP="0035534A">
            <w:pPr>
              <w:jc w:val="center"/>
            </w:pPr>
            <w:r w:rsidRPr="00FE0432">
              <w:t>.</w:t>
            </w:r>
            <w:r w:rsidR="0035534A">
              <w:t>438</w:t>
            </w:r>
          </w:p>
        </w:tc>
        <w:tc>
          <w:tcPr>
            <w:tcW w:w="1882" w:type="dxa"/>
            <w:vAlign w:val="center"/>
          </w:tcPr>
          <w:p w14:paraId="016507D9" w14:textId="77777777" w:rsidR="003D3BEB" w:rsidRPr="00CF79C8" w:rsidRDefault="00CF79C8" w:rsidP="00A82530">
            <w:pPr>
              <w:jc w:val="center"/>
            </w:pPr>
            <w:r w:rsidRPr="00CF79C8">
              <w:t>1.</w:t>
            </w:r>
            <w:r w:rsidR="00A82530">
              <w:t>0359</w:t>
            </w:r>
          </w:p>
        </w:tc>
        <w:tc>
          <w:tcPr>
            <w:tcW w:w="1883" w:type="dxa"/>
            <w:vAlign w:val="center"/>
          </w:tcPr>
          <w:p w14:paraId="1BEAB0F4" w14:textId="77777777" w:rsidR="003D3BEB" w:rsidRPr="00CF79C8" w:rsidRDefault="00CF79C8" w:rsidP="00A82530">
            <w:pPr>
              <w:jc w:val="center"/>
            </w:pPr>
            <w:r w:rsidRPr="00CF79C8">
              <w:t>.0</w:t>
            </w:r>
            <w:r w:rsidR="00A82530">
              <w:t>686</w:t>
            </w:r>
          </w:p>
        </w:tc>
        <w:tc>
          <w:tcPr>
            <w:tcW w:w="1883" w:type="dxa"/>
            <w:vAlign w:val="center"/>
          </w:tcPr>
          <w:p w14:paraId="15933F0F" w14:textId="77777777" w:rsidR="003D3BEB" w:rsidRPr="00CF79C8" w:rsidRDefault="00CF79C8" w:rsidP="00A82530">
            <w:pPr>
              <w:jc w:val="center"/>
            </w:pPr>
            <w:r w:rsidRPr="00CF79C8">
              <w:t>.</w:t>
            </w:r>
            <w:r w:rsidR="00A82530">
              <w:t>595</w:t>
            </w:r>
          </w:p>
        </w:tc>
      </w:tr>
      <w:tr w:rsidR="003D3BEB" w14:paraId="5A99C8AB" w14:textId="77777777" w:rsidTr="004A10EA">
        <w:tc>
          <w:tcPr>
            <w:tcW w:w="2160" w:type="dxa"/>
            <w:vAlign w:val="center"/>
          </w:tcPr>
          <w:p w14:paraId="52263E9D" w14:textId="77777777" w:rsidR="003D3BEB" w:rsidRDefault="003D3BEB" w:rsidP="004A10EA">
            <w:r>
              <w:t>NP/PA</w:t>
            </w:r>
          </w:p>
        </w:tc>
        <w:tc>
          <w:tcPr>
            <w:tcW w:w="1882" w:type="dxa"/>
            <w:vAlign w:val="center"/>
          </w:tcPr>
          <w:p w14:paraId="203CEC0C" w14:textId="77777777" w:rsidR="003D3BEB" w:rsidRPr="00C3435B" w:rsidRDefault="00FE0432" w:rsidP="0035534A">
            <w:pPr>
              <w:jc w:val="center"/>
              <w:rPr>
                <w:b/>
              </w:rPr>
            </w:pPr>
            <w:r>
              <w:rPr>
                <w:b/>
              </w:rPr>
              <w:t>1.</w:t>
            </w:r>
            <w:r w:rsidR="0035534A">
              <w:rPr>
                <w:b/>
              </w:rPr>
              <w:t>5295</w:t>
            </w:r>
          </w:p>
        </w:tc>
        <w:tc>
          <w:tcPr>
            <w:tcW w:w="1882" w:type="dxa"/>
            <w:vAlign w:val="center"/>
          </w:tcPr>
          <w:p w14:paraId="5C38481F" w14:textId="77777777" w:rsidR="003D3BEB" w:rsidRPr="00C3435B" w:rsidRDefault="00FE0432" w:rsidP="0035534A">
            <w:pPr>
              <w:jc w:val="center"/>
              <w:rPr>
                <w:b/>
              </w:rPr>
            </w:pPr>
            <w:r>
              <w:rPr>
                <w:b/>
              </w:rPr>
              <w:t>.1</w:t>
            </w:r>
            <w:r w:rsidR="0035534A">
              <w:rPr>
                <w:b/>
              </w:rPr>
              <w:t>062</w:t>
            </w:r>
          </w:p>
        </w:tc>
        <w:tc>
          <w:tcPr>
            <w:tcW w:w="1882" w:type="dxa"/>
            <w:vAlign w:val="center"/>
          </w:tcPr>
          <w:p w14:paraId="7633BD34" w14:textId="77777777" w:rsidR="003D3BEB" w:rsidRPr="00C3435B" w:rsidRDefault="00FE0432" w:rsidP="004A10EA">
            <w:pPr>
              <w:jc w:val="center"/>
              <w:rPr>
                <w:b/>
              </w:rPr>
            </w:pPr>
            <w:r>
              <w:rPr>
                <w:b/>
              </w:rPr>
              <w:t>&lt; .001</w:t>
            </w:r>
          </w:p>
        </w:tc>
        <w:tc>
          <w:tcPr>
            <w:tcW w:w="1882" w:type="dxa"/>
            <w:vAlign w:val="center"/>
          </w:tcPr>
          <w:p w14:paraId="39EE5BF7" w14:textId="77777777" w:rsidR="003D3BEB" w:rsidRPr="00C3435B" w:rsidRDefault="00CF79C8" w:rsidP="00A82530">
            <w:pPr>
              <w:jc w:val="center"/>
              <w:rPr>
                <w:b/>
              </w:rPr>
            </w:pPr>
            <w:r>
              <w:rPr>
                <w:b/>
              </w:rPr>
              <w:t>1.</w:t>
            </w:r>
            <w:r w:rsidR="00A82530">
              <w:rPr>
                <w:b/>
              </w:rPr>
              <w:t>4917</w:t>
            </w:r>
          </w:p>
        </w:tc>
        <w:tc>
          <w:tcPr>
            <w:tcW w:w="1883" w:type="dxa"/>
            <w:vAlign w:val="center"/>
          </w:tcPr>
          <w:p w14:paraId="084AF81D" w14:textId="77777777" w:rsidR="003D3BEB" w:rsidRPr="00C3435B" w:rsidRDefault="00CF79C8" w:rsidP="00A82530">
            <w:pPr>
              <w:jc w:val="center"/>
              <w:rPr>
                <w:b/>
              </w:rPr>
            </w:pPr>
            <w:r>
              <w:rPr>
                <w:b/>
              </w:rPr>
              <w:t>.1</w:t>
            </w:r>
            <w:r w:rsidR="00A82530">
              <w:rPr>
                <w:b/>
              </w:rPr>
              <w:t>037</w:t>
            </w:r>
          </w:p>
        </w:tc>
        <w:tc>
          <w:tcPr>
            <w:tcW w:w="1883" w:type="dxa"/>
            <w:vAlign w:val="center"/>
          </w:tcPr>
          <w:p w14:paraId="3F1D1ACC" w14:textId="77777777" w:rsidR="003D3BEB" w:rsidRPr="00C3435B" w:rsidRDefault="00CF79C8" w:rsidP="004A10EA">
            <w:pPr>
              <w:jc w:val="center"/>
              <w:rPr>
                <w:b/>
              </w:rPr>
            </w:pPr>
            <w:r>
              <w:rPr>
                <w:b/>
              </w:rPr>
              <w:t>&lt; .001</w:t>
            </w:r>
          </w:p>
        </w:tc>
      </w:tr>
    </w:tbl>
    <w:p w14:paraId="58B429AD" w14:textId="77777777" w:rsidR="004A10EA" w:rsidRDefault="007C4EA7" w:rsidP="006E3162">
      <w:pPr>
        <w:tabs>
          <w:tab w:val="left" w:pos="900"/>
        </w:tabs>
        <w:spacing w:before="120" w:after="0"/>
        <w:ind w:left="720" w:hanging="720"/>
      </w:pPr>
      <w:r>
        <w:t xml:space="preserve">Note: </w:t>
      </w:r>
      <w:r w:rsidR="0035534A">
        <w:t>67,251</w:t>
      </w:r>
      <w:r>
        <w:t xml:space="preserve"> patient</w:t>
      </w:r>
      <w:r w:rsidR="00C3435B">
        <w:t xml:space="preserve">s </w:t>
      </w:r>
      <w:r>
        <w:t xml:space="preserve">for the period </w:t>
      </w:r>
      <w:r w:rsidR="00C3435B">
        <w:t xml:space="preserve">April 1, </w:t>
      </w:r>
      <w:r>
        <w:t xml:space="preserve">2011 – </w:t>
      </w:r>
      <w:r w:rsidR="00C3435B">
        <w:t xml:space="preserve">December 31, </w:t>
      </w:r>
      <w:r>
        <w:t>2018.</w:t>
      </w:r>
      <w:r w:rsidR="006E3162">
        <w:t xml:space="preserve"> Higher hazard ratios represent shorter treatment duration.</w:t>
      </w:r>
    </w:p>
    <w:p w14:paraId="12AFBEB9" w14:textId="77777777" w:rsidR="006E3162" w:rsidRDefault="006E3162" w:rsidP="006E3162">
      <w:pPr>
        <w:tabs>
          <w:tab w:val="left" w:pos="900"/>
        </w:tabs>
        <w:spacing w:before="120" w:after="0"/>
        <w:ind w:left="720" w:hanging="720"/>
      </w:pPr>
      <w:r>
        <w:tab/>
      </w:r>
    </w:p>
    <w:p w14:paraId="7B346FC2" w14:textId="77777777" w:rsidR="006E3162" w:rsidRDefault="006E3162" w:rsidP="008C2357">
      <w:pPr>
        <w:tabs>
          <w:tab w:val="left" w:pos="900"/>
        </w:tabs>
        <w:spacing w:before="120"/>
        <w:ind w:left="720" w:hanging="720"/>
      </w:pPr>
    </w:p>
    <w:p w14:paraId="25B05A4B" w14:textId="77777777" w:rsidR="00103BE8" w:rsidRDefault="00103BE8" w:rsidP="00103BE8">
      <w:pPr>
        <w:tabs>
          <w:tab w:val="left" w:pos="900"/>
        </w:tabs>
        <w:spacing w:after="0"/>
        <w:ind w:left="720" w:hanging="720"/>
        <w:rPr>
          <w:b/>
        </w:rPr>
      </w:pPr>
      <w:r>
        <w:rPr>
          <w:b/>
        </w:rPr>
        <w:lastRenderedPageBreak/>
        <w:t>IV.</w:t>
      </w:r>
      <w:r w:rsidR="00E265DE">
        <w:rPr>
          <w:b/>
        </w:rPr>
        <w:t>5</w:t>
      </w:r>
      <w:r w:rsidR="005B1735">
        <w:rPr>
          <w:b/>
        </w:rPr>
        <w:t>b</w:t>
      </w:r>
      <w:r>
        <w:rPr>
          <w:b/>
        </w:rPr>
        <w:t>: Patient age grouping, number of prescribers, percent black/Hispanic, and prescriber number of shared-patient ties disaggregated</w:t>
      </w:r>
    </w:p>
    <w:p w14:paraId="7984A99D" w14:textId="77777777" w:rsidR="00FE0432" w:rsidRPr="004A10EA" w:rsidRDefault="00FE0432" w:rsidP="00FE0432">
      <w:pPr>
        <w:tabs>
          <w:tab w:val="left" w:pos="900"/>
        </w:tabs>
        <w:spacing w:after="0"/>
        <w:ind w:left="720" w:hanging="720"/>
        <w:rPr>
          <w:b/>
        </w:rPr>
      </w:pPr>
      <w:r>
        <w:rPr>
          <w:b/>
        </w:rPr>
        <w:t>Dependent variable: Time to end of treatment</w:t>
      </w:r>
    </w:p>
    <w:tbl>
      <w:tblPr>
        <w:tblStyle w:val="TableGrid"/>
        <w:tblW w:w="13454" w:type="dxa"/>
        <w:tblLook w:val="04A0" w:firstRow="1" w:lastRow="0" w:firstColumn="1" w:lastColumn="0" w:noHBand="0" w:noVBand="1"/>
      </w:tblPr>
      <w:tblGrid>
        <w:gridCol w:w="3888"/>
        <w:gridCol w:w="1440"/>
        <w:gridCol w:w="2070"/>
        <w:gridCol w:w="1260"/>
        <w:gridCol w:w="1530"/>
        <w:gridCol w:w="1980"/>
        <w:gridCol w:w="1286"/>
      </w:tblGrid>
      <w:tr w:rsidR="00FE0432" w14:paraId="2B4AF548" w14:textId="77777777" w:rsidTr="00C04CEF">
        <w:tc>
          <w:tcPr>
            <w:tcW w:w="3888" w:type="dxa"/>
            <w:vAlign w:val="center"/>
          </w:tcPr>
          <w:p w14:paraId="716BD8FA" w14:textId="77777777" w:rsidR="00FE0432" w:rsidRPr="00E52C9F" w:rsidRDefault="00FE0432" w:rsidP="006E3162">
            <w:pPr>
              <w:jc w:val="center"/>
              <w:rPr>
                <w:b/>
              </w:rPr>
            </w:pPr>
            <w:r w:rsidRPr="00E52C9F">
              <w:rPr>
                <w:b/>
              </w:rPr>
              <w:t>Ind. variables</w:t>
            </w:r>
          </w:p>
        </w:tc>
        <w:tc>
          <w:tcPr>
            <w:tcW w:w="1440" w:type="dxa"/>
            <w:vAlign w:val="center"/>
          </w:tcPr>
          <w:p w14:paraId="516FF338" w14:textId="77777777" w:rsidR="00FE0432" w:rsidRPr="00E52C9F" w:rsidRDefault="00FE0432" w:rsidP="006E3162">
            <w:pPr>
              <w:jc w:val="center"/>
              <w:rPr>
                <w:b/>
              </w:rPr>
            </w:pPr>
            <w:r>
              <w:rPr>
                <w:b/>
              </w:rPr>
              <w:t>Hazard ratio</w:t>
            </w:r>
          </w:p>
        </w:tc>
        <w:tc>
          <w:tcPr>
            <w:tcW w:w="2070" w:type="dxa"/>
            <w:vAlign w:val="center"/>
          </w:tcPr>
          <w:p w14:paraId="4ED283AF" w14:textId="77777777" w:rsidR="00FE0432" w:rsidRPr="00E52C9F" w:rsidRDefault="00FE0432" w:rsidP="006E3162">
            <w:pPr>
              <w:jc w:val="center"/>
              <w:rPr>
                <w:b/>
              </w:rPr>
            </w:pPr>
            <w:r>
              <w:rPr>
                <w:b/>
              </w:rPr>
              <w:t>Robust Std. error</w:t>
            </w:r>
          </w:p>
        </w:tc>
        <w:tc>
          <w:tcPr>
            <w:tcW w:w="1260" w:type="dxa"/>
            <w:vAlign w:val="center"/>
          </w:tcPr>
          <w:p w14:paraId="7D12B054" w14:textId="77777777" w:rsidR="00FE0432" w:rsidRPr="00E52C9F" w:rsidRDefault="00FE0432" w:rsidP="006E3162">
            <w:pPr>
              <w:jc w:val="center"/>
              <w:rPr>
                <w:b/>
              </w:rPr>
            </w:pPr>
            <w:r>
              <w:rPr>
                <w:b/>
              </w:rPr>
              <w:t>P-value</w:t>
            </w:r>
          </w:p>
        </w:tc>
        <w:tc>
          <w:tcPr>
            <w:tcW w:w="1530" w:type="dxa"/>
            <w:vAlign w:val="center"/>
          </w:tcPr>
          <w:p w14:paraId="51038BF6" w14:textId="77777777" w:rsidR="00FE0432" w:rsidRPr="00E52C9F" w:rsidRDefault="00FE0432" w:rsidP="006E3162">
            <w:pPr>
              <w:jc w:val="center"/>
              <w:rPr>
                <w:b/>
              </w:rPr>
            </w:pPr>
            <w:r>
              <w:rPr>
                <w:b/>
              </w:rPr>
              <w:t>Hazard ratio</w:t>
            </w:r>
          </w:p>
        </w:tc>
        <w:tc>
          <w:tcPr>
            <w:tcW w:w="1980" w:type="dxa"/>
            <w:vAlign w:val="center"/>
          </w:tcPr>
          <w:p w14:paraId="101D498A" w14:textId="77777777" w:rsidR="00FE0432" w:rsidRPr="00E52C9F" w:rsidRDefault="00FE0432" w:rsidP="006E3162">
            <w:pPr>
              <w:jc w:val="center"/>
              <w:rPr>
                <w:b/>
              </w:rPr>
            </w:pPr>
            <w:r>
              <w:rPr>
                <w:b/>
              </w:rPr>
              <w:t>Robust Std. error</w:t>
            </w:r>
          </w:p>
        </w:tc>
        <w:tc>
          <w:tcPr>
            <w:tcW w:w="1286" w:type="dxa"/>
            <w:vAlign w:val="center"/>
          </w:tcPr>
          <w:p w14:paraId="4E9AFF8F" w14:textId="77777777" w:rsidR="00FE0432" w:rsidRPr="00E52C9F" w:rsidRDefault="00FE0432" w:rsidP="006E3162">
            <w:pPr>
              <w:jc w:val="center"/>
              <w:rPr>
                <w:b/>
              </w:rPr>
            </w:pPr>
            <w:r>
              <w:rPr>
                <w:b/>
              </w:rPr>
              <w:t>P-value</w:t>
            </w:r>
          </w:p>
        </w:tc>
      </w:tr>
      <w:tr w:rsidR="00FE0432" w14:paraId="32C6A0F7" w14:textId="77777777" w:rsidTr="00C04CEF">
        <w:tc>
          <w:tcPr>
            <w:tcW w:w="3888" w:type="dxa"/>
            <w:vAlign w:val="center"/>
          </w:tcPr>
          <w:p w14:paraId="75B086F2" w14:textId="77777777" w:rsidR="00FE0432" w:rsidRDefault="00FE0432" w:rsidP="006E3162">
            <w:r>
              <w:t>Gender (Female)</w:t>
            </w:r>
          </w:p>
        </w:tc>
        <w:tc>
          <w:tcPr>
            <w:tcW w:w="1440" w:type="dxa"/>
            <w:vAlign w:val="center"/>
          </w:tcPr>
          <w:p w14:paraId="1035F02C" w14:textId="77777777" w:rsidR="00FE0432" w:rsidRPr="002E0469" w:rsidRDefault="002E0469" w:rsidP="006E3162">
            <w:pPr>
              <w:jc w:val="center"/>
              <w:rPr>
                <w:b/>
              </w:rPr>
            </w:pPr>
            <w:r w:rsidRPr="002E0469">
              <w:rPr>
                <w:b/>
              </w:rPr>
              <w:t>.9426</w:t>
            </w:r>
          </w:p>
        </w:tc>
        <w:tc>
          <w:tcPr>
            <w:tcW w:w="2070" w:type="dxa"/>
            <w:vAlign w:val="center"/>
          </w:tcPr>
          <w:p w14:paraId="004B7E03" w14:textId="77777777" w:rsidR="00FE0432" w:rsidRPr="00C3435B" w:rsidRDefault="002E0469" w:rsidP="006E3162">
            <w:pPr>
              <w:jc w:val="center"/>
              <w:rPr>
                <w:b/>
              </w:rPr>
            </w:pPr>
            <w:r>
              <w:rPr>
                <w:b/>
              </w:rPr>
              <w:t>.0098</w:t>
            </w:r>
          </w:p>
        </w:tc>
        <w:tc>
          <w:tcPr>
            <w:tcW w:w="1260" w:type="dxa"/>
            <w:vAlign w:val="center"/>
          </w:tcPr>
          <w:p w14:paraId="6B2DEB24" w14:textId="77777777" w:rsidR="00FE0432" w:rsidRPr="00C3435B" w:rsidRDefault="002E0469" w:rsidP="006E3162">
            <w:pPr>
              <w:jc w:val="center"/>
              <w:rPr>
                <w:b/>
              </w:rPr>
            </w:pPr>
            <w:r>
              <w:rPr>
                <w:b/>
              </w:rPr>
              <w:t>&lt; .001</w:t>
            </w:r>
          </w:p>
        </w:tc>
        <w:tc>
          <w:tcPr>
            <w:tcW w:w="1530" w:type="dxa"/>
            <w:vAlign w:val="center"/>
          </w:tcPr>
          <w:p w14:paraId="5BA2AACE" w14:textId="77777777" w:rsidR="00FE0432" w:rsidRPr="00C3435B" w:rsidRDefault="00DC643B" w:rsidP="006E3162">
            <w:pPr>
              <w:jc w:val="center"/>
              <w:rPr>
                <w:b/>
              </w:rPr>
            </w:pPr>
            <w:r>
              <w:rPr>
                <w:b/>
              </w:rPr>
              <w:t>.9439</w:t>
            </w:r>
          </w:p>
        </w:tc>
        <w:tc>
          <w:tcPr>
            <w:tcW w:w="1980" w:type="dxa"/>
            <w:vAlign w:val="center"/>
          </w:tcPr>
          <w:p w14:paraId="0A7F8A43" w14:textId="77777777" w:rsidR="00FE0432" w:rsidRPr="00C3435B" w:rsidRDefault="00DC643B" w:rsidP="006E3162">
            <w:pPr>
              <w:jc w:val="center"/>
              <w:rPr>
                <w:b/>
              </w:rPr>
            </w:pPr>
            <w:r>
              <w:rPr>
                <w:b/>
              </w:rPr>
              <w:t>.0098</w:t>
            </w:r>
          </w:p>
        </w:tc>
        <w:tc>
          <w:tcPr>
            <w:tcW w:w="1286" w:type="dxa"/>
            <w:vAlign w:val="center"/>
          </w:tcPr>
          <w:p w14:paraId="59E7F59E" w14:textId="77777777" w:rsidR="00FE0432" w:rsidRPr="00C3435B" w:rsidRDefault="00DC643B" w:rsidP="006E3162">
            <w:pPr>
              <w:jc w:val="center"/>
              <w:rPr>
                <w:b/>
              </w:rPr>
            </w:pPr>
            <w:r>
              <w:rPr>
                <w:b/>
              </w:rPr>
              <w:t>&lt; .001</w:t>
            </w:r>
          </w:p>
        </w:tc>
      </w:tr>
      <w:tr w:rsidR="00FE0432" w14:paraId="07CF243A" w14:textId="77777777" w:rsidTr="00C04CEF">
        <w:tc>
          <w:tcPr>
            <w:tcW w:w="3888" w:type="dxa"/>
            <w:vAlign w:val="center"/>
          </w:tcPr>
          <w:p w14:paraId="0919F328" w14:textId="77777777" w:rsidR="00FE0432" w:rsidRDefault="00FE0432" w:rsidP="0019745D">
            <w:r>
              <w:t xml:space="preserve">Age </w:t>
            </w:r>
            <w:r w:rsidR="0019745D">
              <w:t>30 - 39</w:t>
            </w:r>
          </w:p>
        </w:tc>
        <w:tc>
          <w:tcPr>
            <w:tcW w:w="1440" w:type="dxa"/>
            <w:vAlign w:val="center"/>
          </w:tcPr>
          <w:p w14:paraId="43920DB0" w14:textId="77777777" w:rsidR="00FE0432" w:rsidRPr="00C3435B" w:rsidRDefault="002E0469" w:rsidP="006E3162">
            <w:pPr>
              <w:jc w:val="center"/>
              <w:rPr>
                <w:b/>
              </w:rPr>
            </w:pPr>
            <w:r>
              <w:rPr>
                <w:b/>
              </w:rPr>
              <w:t>.8447</w:t>
            </w:r>
          </w:p>
        </w:tc>
        <w:tc>
          <w:tcPr>
            <w:tcW w:w="2070" w:type="dxa"/>
            <w:vAlign w:val="center"/>
          </w:tcPr>
          <w:p w14:paraId="5523EFB4" w14:textId="77777777" w:rsidR="00FE0432" w:rsidRPr="00C3435B" w:rsidRDefault="002E0469" w:rsidP="006E3162">
            <w:pPr>
              <w:jc w:val="center"/>
              <w:rPr>
                <w:b/>
              </w:rPr>
            </w:pPr>
            <w:r>
              <w:rPr>
                <w:b/>
              </w:rPr>
              <w:t>.0105</w:t>
            </w:r>
          </w:p>
        </w:tc>
        <w:tc>
          <w:tcPr>
            <w:tcW w:w="1260" w:type="dxa"/>
            <w:vAlign w:val="center"/>
          </w:tcPr>
          <w:p w14:paraId="5EAFB344" w14:textId="77777777" w:rsidR="00FE0432" w:rsidRPr="00C3435B" w:rsidRDefault="002E0469" w:rsidP="006E3162">
            <w:pPr>
              <w:jc w:val="center"/>
              <w:rPr>
                <w:b/>
              </w:rPr>
            </w:pPr>
            <w:r>
              <w:rPr>
                <w:b/>
              </w:rPr>
              <w:t>&lt; .001</w:t>
            </w:r>
          </w:p>
        </w:tc>
        <w:tc>
          <w:tcPr>
            <w:tcW w:w="1530" w:type="dxa"/>
            <w:vAlign w:val="center"/>
          </w:tcPr>
          <w:p w14:paraId="157D209B" w14:textId="77777777" w:rsidR="00FE0432" w:rsidRPr="00C3435B" w:rsidRDefault="00DC643B" w:rsidP="006E3162">
            <w:pPr>
              <w:jc w:val="center"/>
              <w:rPr>
                <w:b/>
              </w:rPr>
            </w:pPr>
            <w:r>
              <w:rPr>
                <w:b/>
              </w:rPr>
              <w:t>.8402</w:t>
            </w:r>
          </w:p>
        </w:tc>
        <w:tc>
          <w:tcPr>
            <w:tcW w:w="1980" w:type="dxa"/>
            <w:vAlign w:val="center"/>
          </w:tcPr>
          <w:p w14:paraId="7C58992C" w14:textId="77777777" w:rsidR="00FE0432" w:rsidRPr="00C3435B" w:rsidRDefault="00DC643B" w:rsidP="006E3162">
            <w:pPr>
              <w:jc w:val="center"/>
              <w:rPr>
                <w:b/>
              </w:rPr>
            </w:pPr>
            <w:r>
              <w:rPr>
                <w:b/>
              </w:rPr>
              <w:t>.0106</w:t>
            </w:r>
          </w:p>
        </w:tc>
        <w:tc>
          <w:tcPr>
            <w:tcW w:w="1286" w:type="dxa"/>
            <w:vAlign w:val="center"/>
          </w:tcPr>
          <w:p w14:paraId="6DF91608" w14:textId="77777777" w:rsidR="00FE0432" w:rsidRPr="00C3435B" w:rsidRDefault="00DC643B" w:rsidP="006E3162">
            <w:pPr>
              <w:jc w:val="center"/>
              <w:rPr>
                <w:b/>
              </w:rPr>
            </w:pPr>
            <w:r>
              <w:rPr>
                <w:b/>
              </w:rPr>
              <w:t>&lt; .001</w:t>
            </w:r>
          </w:p>
        </w:tc>
      </w:tr>
      <w:tr w:rsidR="00103BE8" w14:paraId="0C298EBC" w14:textId="77777777" w:rsidTr="00C04CEF">
        <w:tc>
          <w:tcPr>
            <w:tcW w:w="3888" w:type="dxa"/>
            <w:vAlign w:val="center"/>
          </w:tcPr>
          <w:p w14:paraId="30AD672A" w14:textId="77777777" w:rsidR="00103BE8" w:rsidRDefault="0019745D" w:rsidP="006E3162">
            <w:r>
              <w:t xml:space="preserve">        40 – 49</w:t>
            </w:r>
          </w:p>
        </w:tc>
        <w:tc>
          <w:tcPr>
            <w:tcW w:w="1440" w:type="dxa"/>
            <w:vAlign w:val="center"/>
          </w:tcPr>
          <w:p w14:paraId="075B828A" w14:textId="77777777" w:rsidR="00103BE8" w:rsidRPr="00C3435B" w:rsidRDefault="002E0469" w:rsidP="006E3162">
            <w:pPr>
              <w:jc w:val="center"/>
              <w:rPr>
                <w:b/>
              </w:rPr>
            </w:pPr>
            <w:r>
              <w:rPr>
                <w:b/>
              </w:rPr>
              <w:t>.7930</w:t>
            </w:r>
          </w:p>
        </w:tc>
        <w:tc>
          <w:tcPr>
            <w:tcW w:w="2070" w:type="dxa"/>
            <w:vAlign w:val="center"/>
          </w:tcPr>
          <w:p w14:paraId="5CAB9829" w14:textId="77777777" w:rsidR="00103BE8" w:rsidRPr="00C3435B" w:rsidRDefault="002E0469" w:rsidP="006E3162">
            <w:pPr>
              <w:jc w:val="center"/>
              <w:rPr>
                <w:b/>
              </w:rPr>
            </w:pPr>
            <w:r>
              <w:rPr>
                <w:b/>
              </w:rPr>
              <w:t>.0118</w:t>
            </w:r>
          </w:p>
        </w:tc>
        <w:tc>
          <w:tcPr>
            <w:tcW w:w="1260" w:type="dxa"/>
            <w:vAlign w:val="center"/>
          </w:tcPr>
          <w:p w14:paraId="3DF9474B" w14:textId="77777777" w:rsidR="00103BE8" w:rsidRPr="00C3435B" w:rsidRDefault="002E0469" w:rsidP="006E3162">
            <w:pPr>
              <w:jc w:val="center"/>
              <w:rPr>
                <w:b/>
              </w:rPr>
            </w:pPr>
            <w:r>
              <w:rPr>
                <w:b/>
              </w:rPr>
              <w:t>&lt; .001</w:t>
            </w:r>
          </w:p>
        </w:tc>
        <w:tc>
          <w:tcPr>
            <w:tcW w:w="1530" w:type="dxa"/>
            <w:vAlign w:val="center"/>
          </w:tcPr>
          <w:p w14:paraId="1F30DF64" w14:textId="77777777" w:rsidR="00103BE8" w:rsidRPr="00C3435B" w:rsidRDefault="00DC643B" w:rsidP="006E3162">
            <w:pPr>
              <w:jc w:val="center"/>
              <w:rPr>
                <w:b/>
              </w:rPr>
            </w:pPr>
            <w:r>
              <w:rPr>
                <w:b/>
              </w:rPr>
              <w:t>.7879</w:t>
            </w:r>
          </w:p>
        </w:tc>
        <w:tc>
          <w:tcPr>
            <w:tcW w:w="1980" w:type="dxa"/>
            <w:vAlign w:val="center"/>
          </w:tcPr>
          <w:p w14:paraId="30F6BC52" w14:textId="77777777" w:rsidR="00103BE8" w:rsidRPr="00C3435B" w:rsidRDefault="00DC643B" w:rsidP="006E3162">
            <w:pPr>
              <w:jc w:val="center"/>
              <w:rPr>
                <w:b/>
              </w:rPr>
            </w:pPr>
            <w:r>
              <w:rPr>
                <w:b/>
              </w:rPr>
              <w:t>.0119</w:t>
            </w:r>
          </w:p>
        </w:tc>
        <w:tc>
          <w:tcPr>
            <w:tcW w:w="1286" w:type="dxa"/>
            <w:vAlign w:val="center"/>
          </w:tcPr>
          <w:p w14:paraId="04A36A16" w14:textId="77777777" w:rsidR="00103BE8" w:rsidRPr="00C3435B" w:rsidRDefault="00DC643B" w:rsidP="006E3162">
            <w:pPr>
              <w:jc w:val="center"/>
              <w:rPr>
                <w:b/>
              </w:rPr>
            </w:pPr>
            <w:r>
              <w:rPr>
                <w:b/>
              </w:rPr>
              <w:t>&lt; .001</w:t>
            </w:r>
          </w:p>
        </w:tc>
      </w:tr>
      <w:tr w:rsidR="00103BE8" w14:paraId="7E0E8F41" w14:textId="77777777" w:rsidTr="00C04CEF">
        <w:tc>
          <w:tcPr>
            <w:tcW w:w="3888" w:type="dxa"/>
            <w:vAlign w:val="center"/>
          </w:tcPr>
          <w:p w14:paraId="31557360" w14:textId="77777777" w:rsidR="00103BE8" w:rsidRDefault="0019745D" w:rsidP="006E3162">
            <w:r>
              <w:t xml:space="preserve">        50 - 60</w:t>
            </w:r>
          </w:p>
        </w:tc>
        <w:tc>
          <w:tcPr>
            <w:tcW w:w="1440" w:type="dxa"/>
            <w:vAlign w:val="center"/>
          </w:tcPr>
          <w:p w14:paraId="363802BE" w14:textId="77777777" w:rsidR="00103BE8" w:rsidRPr="00C3435B" w:rsidRDefault="002E0469" w:rsidP="006E3162">
            <w:pPr>
              <w:jc w:val="center"/>
              <w:rPr>
                <w:b/>
              </w:rPr>
            </w:pPr>
            <w:r>
              <w:rPr>
                <w:b/>
              </w:rPr>
              <w:t>.7166</w:t>
            </w:r>
          </w:p>
        </w:tc>
        <w:tc>
          <w:tcPr>
            <w:tcW w:w="2070" w:type="dxa"/>
            <w:vAlign w:val="center"/>
          </w:tcPr>
          <w:p w14:paraId="1DCDF6D6" w14:textId="77777777" w:rsidR="00103BE8" w:rsidRPr="00C3435B" w:rsidRDefault="002E0469" w:rsidP="006E3162">
            <w:pPr>
              <w:jc w:val="center"/>
              <w:rPr>
                <w:b/>
              </w:rPr>
            </w:pPr>
            <w:r>
              <w:rPr>
                <w:b/>
              </w:rPr>
              <w:t>.0120</w:t>
            </w:r>
          </w:p>
        </w:tc>
        <w:tc>
          <w:tcPr>
            <w:tcW w:w="1260" w:type="dxa"/>
            <w:vAlign w:val="center"/>
          </w:tcPr>
          <w:p w14:paraId="018331FC" w14:textId="77777777" w:rsidR="00103BE8" w:rsidRPr="00C3435B" w:rsidRDefault="002E0469" w:rsidP="006E3162">
            <w:pPr>
              <w:jc w:val="center"/>
              <w:rPr>
                <w:b/>
              </w:rPr>
            </w:pPr>
            <w:r>
              <w:rPr>
                <w:b/>
              </w:rPr>
              <w:t>&lt; .001</w:t>
            </w:r>
          </w:p>
        </w:tc>
        <w:tc>
          <w:tcPr>
            <w:tcW w:w="1530" w:type="dxa"/>
            <w:vAlign w:val="center"/>
          </w:tcPr>
          <w:p w14:paraId="2121338A" w14:textId="77777777" w:rsidR="00103BE8" w:rsidRPr="00C3435B" w:rsidRDefault="00DC643B" w:rsidP="006E3162">
            <w:pPr>
              <w:jc w:val="center"/>
              <w:rPr>
                <w:b/>
              </w:rPr>
            </w:pPr>
            <w:r>
              <w:rPr>
                <w:b/>
              </w:rPr>
              <w:t>,7116</w:t>
            </w:r>
          </w:p>
        </w:tc>
        <w:tc>
          <w:tcPr>
            <w:tcW w:w="1980" w:type="dxa"/>
            <w:vAlign w:val="center"/>
          </w:tcPr>
          <w:p w14:paraId="11C3084F" w14:textId="77777777" w:rsidR="00103BE8" w:rsidRPr="00C3435B" w:rsidRDefault="00DC643B" w:rsidP="006E3162">
            <w:pPr>
              <w:jc w:val="center"/>
              <w:rPr>
                <w:b/>
              </w:rPr>
            </w:pPr>
            <w:r>
              <w:rPr>
                <w:b/>
              </w:rPr>
              <w:t>.0123</w:t>
            </w:r>
          </w:p>
        </w:tc>
        <w:tc>
          <w:tcPr>
            <w:tcW w:w="1286" w:type="dxa"/>
            <w:vAlign w:val="center"/>
          </w:tcPr>
          <w:p w14:paraId="02226F25" w14:textId="77777777" w:rsidR="00103BE8" w:rsidRPr="00C3435B" w:rsidRDefault="00DC643B" w:rsidP="006E3162">
            <w:pPr>
              <w:jc w:val="center"/>
              <w:rPr>
                <w:b/>
              </w:rPr>
            </w:pPr>
            <w:r>
              <w:rPr>
                <w:b/>
              </w:rPr>
              <w:t>&lt; .001</w:t>
            </w:r>
          </w:p>
        </w:tc>
      </w:tr>
      <w:tr w:rsidR="00FE0432" w14:paraId="2690C2E4" w14:textId="77777777" w:rsidTr="00C04CEF">
        <w:tc>
          <w:tcPr>
            <w:tcW w:w="3888" w:type="dxa"/>
            <w:vAlign w:val="center"/>
          </w:tcPr>
          <w:p w14:paraId="0F9AAAA4" w14:textId="77777777" w:rsidR="00FE0432" w:rsidRDefault="0019745D" w:rsidP="006E3162">
            <w:r>
              <w:t>#</w:t>
            </w:r>
            <w:r w:rsidR="00FE0432">
              <w:t xml:space="preserve"> prescribers</w:t>
            </w:r>
            <w:r>
              <w:t xml:space="preserve"> = 2</w:t>
            </w:r>
          </w:p>
        </w:tc>
        <w:tc>
          <w:tcPr>
            <w:tcW w:w="1440" w:type="dxa"/>
            <w:vAlign w:val="center"/>
          </w:tcPr>
          <w:p w14:paraId="3B91054F" w14:textId="77777777" w:rsidR="00FE0432" w:rsidRPr="00C3435B" w:rsidRDefault="002E0469" w:rsidP="006E3162">
            <w:pPr>
              <w:jc w:val="center"/>
              <w:rPr>
                <w:b/>
              </w:rPr>
            </w:pPr>
            <w:r>
              <w:rPr>
                <w:b/>
              </w:rPr>
              <w:t>.4667</w:t>
            </w:r>
          </w:p>
        </w:tc>
        <w:tc>
          <w:tcPr>
            <w:tcW w:w="2070" w:type="dxa"/>
            <w:vAlign w:val="center"/>
          </w:tcPr>
          <w:p w14:paraId="45857639" w14:textId="77777777" w:rsidR="00FE0432" w:rsidRPr="00C3435B" w:rsidRDefault="002E0469" w:rsidP="006E3162">
            <w:pPr>
              <w:jc w:val="center"/>
              <w:rPr>
                <w:b/>
              </w:rPr>
            </w:pPr>
            <w:r>
              <w:rPr>
                <w:b/>
              </w:rPr>
              <w:t>.0088</w:t>
            </w:r>
          </w:p>
        </w:tc>
        <w:tc>
          <w:tcPr>
            <w:tcW w:w="1260" w:type="dxa"/>
            <w:vAlign w:val="center"/>
          </w:tcPr>
          <w:p w14:paraId="2C155056" w14:textId="77777777" w:rsidR="00FE0432" w:rsidRPr="00C3435B" w:rsidRDefault="002E0469" w:rsidP="006E3162">
            <w:pPr>
              <w:jc w:val="center"/>
              <w:rPr>
                <w:b/>
              </w:rPr>
            </w:pPr>
            <w:r>
              <w:rPr>
                <w:b/>
              </w:rPr>
              <w:t>&lt; ..001</w:t>
            </w:r>
          </w:p>
        </w:tc>
        <w:tc>
          <w:tcPr>
            <w:tcW w:w="1530" w:type="dxa"/>
            <w:vAlign w:val="center"/>
          </w:tcPr>
          <w:p w14:paraId="48B7AEBC" w14:textId="77777777" w:rsidR="00FE0432" w:rsidRPr="00C3435B" w:rsidRDefault="00DC643B" w:rsidP="006E3162">
            <w:pPr>
              <w:jc w:val="center"/>
              <w:rPr>
                <w:b/>
              </w:rPr>
            </w:pPr>
            <w:r>
              <w:rPr>
                <w:b/>
              </w:rPr>
              <w:t>.4649</w:t>
            </w:r>
          </w:p>
        </w:tc>
        <w:tc>
          <w:tcPr>
            <w:tcW w:w="1980" w:type="dxa"/>
            <w:vAlign w:val="center"/>
          </w:tcPr>
          <w:p w14:paraId="49B744AD" w14:textId="77777777" w:rsidR="00FE0432" w:rsidRPr="00C3435B" w:rsidRDefault="00DC643B" w:rsidP="006E3162">
            <w:pPr>
              <w:jc w:val="center"/>
              <w:rPr>
                <w:b/>
              </w:rPr>
            </w:pPr>
            <w:r>
              <w:rPr>
                <w:b/>
              </w:rPr>
              <w:t>.0085</w:t>
            </w:r>
          </w:p>
        </w:tc>
        <w:tc>
          <w:tcPr>
            <w:tcW w:w="1286" w:type="dxa"/>
            <w:vAlign w:val="center"/>
          </w:tcPr>
          <w:p w14:paraId="16D28DA5" w14:textId="77777777" w:rsidR="00FE0432" w:rsidRPr="00C3435B" w:rsidRDefault="00DC643B" w:rsidP="006E3162">
            <w:pPr>
              <w:jc w:val="center"/>
              <w:rPr>
                <w:b/>
              </w:rPr>
            </w:pPr>
            <w:r>
              <w:rPr>
                <w:b/>
              </w:rPr>
              <w:t>&lt; .001</w:t>
            </w:r>
          </w:p>
        </w:tc>
      </w:tr>
      <w:tr w:rsidR="00103BE8" w14:paraId="3585D0E5" w14:textId="77777777" w:rsidTr="00C04CEF">
        <w:tc>
          <w:tcPr>
            <w:tcW w:w="3888" w:type="dxa"/>
            <w:vAlign w:val="center"/>
          </w:tcPr>
          <w:p w14:paraId="1A917767" w14:textId="77777777" w:rsidR="00103BE8" w:rsidRDefault="0019745D" w:rsidP="006E3162">
            <w:r>
              <w:t># prescribers &gt;= 3</w:t>
            </w:r>
          </w:p>
        </w:tc>
        <w:tc>
          <w:tcPr>
            <w:tcW w:w="1440" w:type="dxa"/>
            <w:vAlign w:val="center"/>
          </w:tcPr>
          <w:p w14:paraId="599E6456" w14:textId="77777777" w:rsidR="00103BE8" w:rsidRPr="00C3435B" w:rsidRDefault="002E0469" w:rsidP="006E3162">
            <w:pPr>
              <w:jc w:val="center"/>
              <w:rPr>
                <w:b/>
              </w:rPr>
            </w:pPr>
            <w:r>
              <w:rPr>
                <w:b/>
              </w:rPr>
              <w:t>.2822</w:t>
            </w:r>
          </w:p>
        </w:tc>
        <w:tc>
          <w:tcPr>
            <w:tcW w:w="2070" w:type="dxa"/>
            <w:vAlign w:val="center"/>
          </w:tcPr>
          <w:p w14:paraId="2C7C20BE" w14:textId="77777777" w:rsidR="00103BE8" w:rsidRPr="00C3435B" w:rsidRDefault="002E0469" w:rsidP="006E3162">
            <w:pPr>
              <w:jc w:val="center"/>
              <w:rPr>
                <w:b/>
              </w:rPr>
            </w:pPr>
            <w:r>
              <w:rPr>
                <w:b/>
              </w:rPr>
              <w:t>.0077</w:t>
            </w:r>
          </w:p>
        </w:tc>
        <w:tc>
          <w:tcPr>
            <w:tcW w:w="1260" w:type="dxa"/>
            <w:vAlign w:val="center"/>
          </w:tcPr>
          <w:p w14:paraId="3100E946" w14:textId="77777777" w:rsidR="00103BE8" w:rsidRPr="00C3435B" w:rsidRDefault="002E0469" w:rsidP="006E3162">
            <w:pPr>
              <w:jc w:val="center"/>
              <w:rPr>
                <w:b/>
              </w:rPr>
            </w:pPr>
            <w:r>
              <w:rPr>
                <w:b/>
              </w:rPr>
              <w:t>&lt; .001</w:t>
            </w:r>
          </w:p>
        </w:tc>
        <w:tc>
          <w:tcPr>
            <w:tcW w:w="1530" w:type="dxa"/>
            <w:vAlign w:val="center"/>
          </w:tcPr>
          <w:p w14:paraId="0B01EA84" w14:textId="77777777" w:rsidR="00103BE8" w:rsidRPr="00C3435B" w:rsidRDefault="00DC643B" w:rsidP="006E3162">
            <w:pPr>
              <w:jc w:val="center"/>
              <w:rPr>
                <w:b/>
              </w:rPr>
            </w:pPr>
            <w:r>
              <w:rPr>
                <w:b/>
              </w:rPr>
              <w:t>.2800</w:t>
            </w:r>
          </w:p>
        </w:tc>
        <w:tc>
          <w:tcPr>
            <w:tcW w:w="1980" w:type="dxa"/>
            <w:vAlign w:val="center"/>
          </w:tcPr>
          <w:p w14:paraId="638E7363" w14:textId="77777777" w:rsidR="00103BE8" w:rsidRPr="00C3435B" w:rsidRDefault="00DC643B" w:rsidP="006E3162">
            <w:pPr>
              <w:jc w:val="center"/>
              <w:rPr>
                <w:b/>
              </w:rPr>
            </w:pPr>
            <w:r>
              <w:rPr>
                <w:b/>
              </w:rPr>
              <w:t>.0075</w:t>
            </w:r>
          </w:p>
        </w:tc>
        <w:tc>
          <w:tcPr>
            <w:tcW w:w="1286" w:type="dxa"/>
            <w:vAlign w:val="center"/>
          </w:tcPr>
          <w:p w14:paraId="6AED87F6" w14:textId="77777777" w:rsidR="00103BE8" w:rsidRPr="00C3435B" w:rsidRDefault="00DC643B" w:rsidP="006E3162">
            <w:pPr>
              <w:jc w:val="center"/>
              <w:rPr>
                <w:b/>
              </w:rPr>
            </w:pPr>
            <w:r>
              <w:rPr>
                <w:b/>
              </w:rPr>
              <w:t>&lt; .001</w:t>
            </w:r>
          </w:p>
        </w:tc>
      </w:tr>
      <w:tr w:rsidR="00FE0432" w14:paraId="5B44146C" w14:textId="77777777" w:rsidTr="00C04CEF">
        <w:tc>
          <w:tcPr>
            <w:tcW w:w="3888" w:type="dxa"/>
            <w:vAlign w:val="center"/>
          </w:tcPr>
          <w:p w14:paraId="69ABA3A7" w14:textId="77777777" w:rsidR="00FE0432" w:rsidRDefault="0019745D" w:rsidP="006E3162">
            <w:r>
              <w:t>County: medium percent black</w:t>
            </w:r>
          </w:p>
        </w:tc>
        <w:tc>
          <w:tcPr>
            <w:tcW w:w="1440" w:type="dxa"/>
            <w:vAlign w:val="center"/>
          </w:tcPr>
          <w:p w14:paraId="78B21BED" w14:textId="77777777" w:rsidR="00FE0432" w:rsidRPr="002E0469" w:rsidRDefault="002E0469" w:rsidP="006E3162">
            <w:pPr>
              <w:jc w:val="center"/>
            </w:pPr>
            <w:r w:rsidRPr="002E0469">
              <w:t>1.0330</w:t>
            </w:r>
          </w:p>
        </w:tc>
        <w:tc>
          <w:tcPr>
            <w:tcW w:w="2070" w:type="dxa"/>
            <w:vAlign w:val="center"/>
          </w:tcPr>
          <w:p w14:paraId="63E64044" w14:textId="77777777" w:rsidR="00FE0432" w:rsidRPr="002E0469" w:rsidRDefault="002E0469" w:rsidP="006E3162">
            <w:pPr>
              <w:jc w:val="center"/>
            </w:pPr>
            <w:r w:rsidRPr="002E0469">
              <w:t>.0458</w:t>
            </w:r>
          </w:p>
        </w:tc>
        <w:tc>
          <w:tcPr>
            <w:tcW w:w="1260" w:type="dxa"/>
            <w:vAlign w:val="center"/>
          </w:tcPr>
          <w:p w14:paraId="133C6392" w14:textId="77777777" w:rsidR="00FE0432" w:rsidRPr="002E0469" w:rsidRDefault="002E0469" w:rsidP="006E3162">
            <w:pPr>
              <w:jc w:val="center"/>
            </w:pPr>
            <w:r w:rsidRPr="002E0469">
              <w:t>.464</w:t>
            </w:r>
          </w:p>
        </w:tc>
        <w:tc>
          <w:tcPr>
            <w:tcW w:w="1530" w:type="dxa"/>
            <w:vAlign w:val="center"/>
          </w:tcPr>
          <w:p w14:paraId="0EC49CFA" w14:textId="77777777" w:rsidR="00FE0432" w:rsidRPr="00C3435B" w:rsidRDefault="00FE0432" w:rsidP="006E3162">
            <w:pPr>
              <w:jc w:val="center"/>
              <w:rPr>
                <w:b/>
              </w:rPr>
            </w:pPr>
            <w:r>
              <w:rPr>
                <w:b/>
              </w:rPr>
              <w:t>-</w:t>
            </w:r>
          </w:p>
        </w:tc>
        <w:tc>
          <w:tcPr>
            <w:tcW w:w="1980" w:type="dxa"/>
            <w:vAlign w:val="center"/>
          </w:tcPr>
          <w:p w14:paraId="27C6DA7E" w14:textId="77777777" w:rsidR="00FE0432" w:rsidRPr="00C3435B" w:rsidRDefault="00FE0432" w:rsidP="006E3162">
            <w:pPr>
              <w:jc w:val="center"/>
              <w:rPr>
                <w:b/>
              </w:rPr>
            </w:pPr>
            <w:r>
              <w:rPr>
                <w:b/>
              </w:rPr>
              <w:t>-</w:t>
            </w:r>
          </w:p>
        </w:tc>
        <w:tc>
          <w:tcPr>
            <w:tcW w:w="1286" w:type="dxa"/>
            <w:vAlign w:val="center"/>
          </w:tcPr>
          <w:p w14:paraId="12B8EC0B" w14:textId="77777777" w:rsidR="00FE0432" w:rsidRPr="00C3435B" w:rsidRDefault="00FE0432" w:rsidP="006E3162">
            <w:pPr>
              <w:jc w:val="center"/>
              <w:rPr>
                <w:b/>
              </w:rPr>
            </w:pPr>
            <w:r>
              <w:rPr>
                <w:b/>
              </w:rPr>
              <w:t>-</w:t>
            </w:r>
          </w:p>
        </w:tc>
      </w:tr>
      <w:tr w:rsidR="00103BE8" w14:paraId="00898673" w14:textId="77777777" w:rsidTr="00C04CEF">
        <w:tc>
          <w:tcPr>
            <w:tcW w:w="3888" w:type="dxa"/>
            <w:vAlign w:val="center"/>
          </w:tcPr>
          <w:p w14:paraId="5DD05670" w14:textId="77777777" w:rsidR="00103BE8" w:rsidRDefault="0019745D" w:rsidP="0019745D">
            <w:r>
              <w:t>County: high percent black</w:t>
            </w:r>
          </w:p>
        </w:tc>
        <w:tc>
          <w:tcPr>
            <w:tcW w:w="1440" w:type="dxa"/>
            <w:vAlign w:val="center"/>
          </w:tcPr>
          <w:p w14:paraId="1C90F369" w14:textId="77777777" w:rsidR="00103BE8" w:rsidRPr="002E0469" w:rsidRDefault="002E0469" w:rsidP="006E3162">
            <w:pPr>
              <w:jc w:val="center"/>
            </w:pPr>
            <w:r>
              <w:t>1.0771</w:t>
            </w:r>
          </w:p>
        </w:tc>
        <w:tc>
          <w:tcPr>
            <w:tcW w:w="2070" w:type="dxa"/>
            <w:vAlign w:val="center"/>
          </w:tcPr>
          <w:p w14:paraId="7FD6CC1F" w14:textId="77777777" w:rsidR="00103BE8" w:rsidRPr="002E0469" w:rsidRDefault="002E0469" w:rsidP="006E3162">
            <w:pPr>
              <w:jc w:val="center"/>
            </w:pPr>
            <w:r>
              <w:t>.0499</w:t>
            </w:r>
          </w:p>
        </w:tc>
        <w:tc>
          <w:tcPr>
            <w:tcW w:w="1260" w:type="dxa"/>
            <w:vAlign w:val="center"/>
          </w:tcPr>
          <w:p w14:paraId="6E61BE51" w14:textId="77777777" w:rsidR="00103BE8" w:rsidRPr="002E0469" w:rsidRDefault="002E0469" w:rsidP="006E3162">
            <w:pPr>
              <w:jc w:val="center"/>
            </w:pPr>
            <w:r>
              <w:t>.109</w:t>
            </w:r>
          </w:p>
        </w:tc>
        <w:tc>
          <w:tcPr>
            <w:tcW w:w="1530" w:type="dxa"/>
            <w:vAlign w:val="center"/>
          </w:tcPr>
          <w:p w14:paraId="36CF0969" w14:textId="77777777" w:rsidR="00103BE8" w:rsidRDefault="00C04CEF" w:rsidP="006E3162">
            <w:pPr>
              <w:jc w:val="center"/>
              <w:rPr>
                <w:b/>
              </w:rPr>
            </w:pPr>
            <w:r>
              <w:rPr>
                <w:b/>
              </w:rPr>
              <w:t>-</w:t>
            </w:r>
          </w:p>
        </w:tc>
        <w:tc>
          <w:tcPr>
            <w:tcW w:w="1980" w:type="dxa"/>
            <w:vAlign w:val="center"/>
          </w:tcPr>
          <w:p w14:paraId="3FA8CED8" w14:textId="77777777" w:rsidR="00103BE8" w:rsidRDefault="00C04CEF" w:rsidP="006E3162">
            <w:pPr>
              <w:jc w:val="center"/>
              <w:rPr>
                <w:b/>
              </w:rPr>
            </w:pPr>
            <w:r>
              <w:rPr>
                <w:b/>
              </w:rPr>
              <w:t>-</w:t>
            </w:r>
          </w:p>
        </w:tc>
        <w:tc>
          <w:tcPr>
            <w:tcW w:w="1286" w:type="dxa"/>
            <w:vAlign w:val="center"/>
          </w:tcPr>
          <w:p w14:paraId="4A141C2B" w14:textId="77777777" w:rsidR="00103BE8" w:rsidRDefault="00C04CEF" w:rsidP="006E3162">
            <w:pPr>
              <w:jc w:val="center"/>
              <w:rPr>
                <w:b/>
              </w:rPr>
            </w:pPr>
            <w:r>
              <w:rPr>
                <w:b/>
              </w:rPr>
              <w:t>-</w:t>
            </w:r>
          </w:p>
        </w:tc>
      </w:tr>
      <w:tr w:rsidR="00FE0432" w14:paraId="6107B9A0" w14:textId="77777777" w:rsidTr="00C04CEF">
        <w:tc>
          <w:tcPr>
            <w:tcW w:w="3888" w:type="dxa"/>
            <w:vAlign w:val="center"/>
          </w:tcPr>
          <w:p w14:paraId="36F7A1AD" w14:textId="77777777" w:rsidR="00FE0432" w:rsidRDefault="0019745D" w:rsidP="006E3162">
            <w:r>
              <w:t>County: medium percent Hispanic</w:t>
            </w:r>
          </w:p>
        </w:tc>
        <w:tc>
          <w:tcPr>
            <w:tcW w:w="1440" w:type="dxa"/>
            <w:vAlign w:val="center"/>
          </w:tcPr>
          <w:p w14:paraId="550230A8" w14:textId="77777777" w:rsidR="00FE0432" w:rsidRPr="00C3435B" w:rsidRDefault="00FE0432" w:rsidP="006E3162">
            <w:pPr>
              <w:jc w:val="center"/>
              <w:rPr>
                <w:b/>
              </w:rPr>
            </w:pPr>
            <w:r>
              <w:rPr>
                <w:b/>
              </w:rPr>
              <w:t>-</w:t>
            </w:r>
          </w:p>
        </w:tc>
        <w:tc>
          <w:tcPr>
            <w:tcW w:w="2070" w:type="dxa"/>
            <w:vAlign w:val="center"/>
          </w:tcPr>
          <w:p w14:paraId="501174EC" w14:textId="77777777" w:rsidR="00FE0432" w:rsidRPr="00C3435B" w:rsidRDefault="00FE0432" w:rsidP="006E3162">
            <w:pPr>
              <w:jc w:val="center"/>
              <w:rPr>
                <w:b/>
              </w:rPr>
            </w:pPr>
            <w:r>
              <w:rPr>
                <w:b/>
              </w:rPr>
              <w:t>-</w:t>
            </w:r>
          </w:p>
        </w:tc>
        <w:tc>
          <w:tcPr>
            <w:tcW w:w="1260" w:type="dxa"/>
            <w:vAlign w:val="center"/>
          </w:tcPr>
          <w:p w14:paraId="48BF5E0C" w14:textId="77777777" w:rsidR="00FE0432" w:rsidRPr="00C3435B" w:rsidRDefault="00FE0432" w:rsidP="006E3162">
            <w:pPr>
              <w:jc w:val="center"/>
              <w:rPr>
                <w:b/>
              </w:rPr>
            </w:pPr>
            <w:r>
              <w:rPr>
                <w:b/>
              </w:rPr>
              <w:t>-</w:t>
            </w:r>
          </w:p>
        </w:tc>
        <w:tc>
          <w:tcPr>
            <w:tcW w:w="1530" w:type="dxa"/>
            <w:vAlign w:val="center"/>
          </w:tcPr>
          <w:p w14:paraId="7087C3CE" w14:textId="77777777" w:rsidR="00FE0432" w:rsidRPr="00C3435B" w:rsidRDefault="00DC643B" w:rsidP="006E3162">
            <w:pPr>
              <w:jc w:val="center"/>
              <w:rPr>
                <w:b/>
              </w:rPr>
            </w:pPr>
            <w:r>
              <w:rPr>
                <w:b/>
              </w:rPr>
              <w:t>1.0980</w:t>
            </w:r>
          </w:p>
        </w:tc>
        <w:tc>
          <w:tcPr>
            <w:tcW w:w="1980" w:type="dxa"/>
            <w:vAlign w:val="center"/>
          </w:tcPr>
          <w:p w14:paraId="236FA0B0" w14:textId="77777777" w:rsidR="00FE0432" w:rsidRPr="00C3435B" w:rsidRDefault="00DC643B" w:rsidP="006E3162">
            <w:pPr>
              <w:jc w:val="center"/>
              <w:rPr>
                <w:b/>
              </w:rPr>
            </w:pPr>
            <w:r>
              <w:rPr>
                <w:b/>
              </w:rPr>
              <w:t>.0317</w:t>
            </w:r>
          </w:p>
        </w:tc>
        <w:tc>
          <w:tcPr>
            <w:tcW w:w="1286" w:type="dxa"/>
            <w:vAlign w:val="center"/>
          </w:tcPr>
          <w:p w14:paraId="0C743451" w14:textId="77777777" w:rsidR="00FE0432" w:rsidRPr="00C3435B" w:rsidRDefault="00DC643B" w:rsidP="006E3162">
            <w:pPr>
              <w:jc w:val="center"/>
              <w:rPr>
                <w:b/>
              </w:rPr>
            </w:pPr>
            <w:r>
              <w:rPr>
                <w:b/>
              </w:rPr>
              <w:t>.001</w:t>
            </w:r>
          </w:p>
        </w:tc>
      </w:tr>
      <w:tr w:rsidR="00103BE8" w14:paraId="3C3E8648" w14:textId="77777777" w:rsidTr="00C04CEF">
        <w:tc>
          <w:tcPr>
            <w:tcW w:w="3888" w:type="dxa"/>
            <w:vAlign w:val="center"/>
          </w:tcPr>
          <w:p w14:paraId="006923CB" w14:textId="77777777" w:rsidR="00103BE8" w:rsidRDefault="0019745D" w:rsidP="006E3162">
            <w:r>
              <w:t>County: high percent Hispanic</w:t>
            </w:r>
          </w:p>
        </w:tc>
        <w:tc>
          <w:tcPr>
            <w:tcW w:w="1440" w:type="dxa"/>
            <w:vAlign w:val="center"/>
          </w:tcPr>
          <w:p w14:paraId="5C8ECF1A" w14:textId="77777777" w:rsidR="00103BE8" w:rsidRDefault="00C04CEF" w:rsidP="006E3162">
            <w:pPr>
              <w:jc w:val="center"/>
              <w:rPr>
                <w:b/>
              </w:rPr>
            </w:pPr>
            <w:r>
              <w:rPr>
                <w:b/>
              </w:rPr>
              <w:t>-</w:t>
            </w:r>
          </w:p>
        </w:tc>
        <w:tc>
          <w:tcPr>
            <w:tcW w:w="2070" w:type="dxa"/>
            <w:vAlign w:val="center"/>
          </w:tcPr>
          <w:p w14:paraId="6DAC06AA" w14:textId="77777777" w:rsidR="00103BE8" w:rsidRDefault="00C04CEF" w:rsidP="006E3162">
            <w:pPr>
              <w:jc w:val="center"/>
              <w:rPr>
                <w:b/>
              </w:rPr>
            </w:pPr>
            <w:r>
              <w:rPr>
                <w:b/>
              </w:rPr>
              <w:t>-</w:t>
            </w:r>
          </w:p>
        </w:tc>
        <w:tc>
          <w:tcPr>
            <w:tcW w:w="1260" w:type="dxa"/>
            <w:vAlign w:val="center"/>
          </w:tcPr>
          <w:p w14:paraId="7B889766" w14:textId="77777777" w:rsidR="00103BE8" w:rsidRDefault="00C04CEF" w:rsidP="006E3162">
            <w:pPr>
              <w:jc w:val="center"/>
              <w:rPr>
                <w:b/>
              </w:rPr>
            </w:pPr>
            <w:r>
              <w:rPr>
                <w:b/>
              </w:rPr>
              <w:t>-</w:t>
            </w:r>
          </w:p>
        </w:tc>
        <w:tc>
          <w:tcPr>
            <w:tcW w:w="1530" w:type="dxa"/>
            <w:vAlign w:val="center"/>
          </w:tcPr>
          <w:p w14:paraId="422516C5" w14:textId="77777777" w:rsidR="00103BE8" w:rsidRPr="00C3435B" w:rsidRDefault="00DC643B" w:rsidP="006E3162">
            <w:pPr>
              <w:jc w:val="center"/>
              <w:rPr>
                <w:b/>
              </w:rPr>
            </w:pPr>
            <w:r>
              <w:rPr>
                <w:b/>
              </w:rPr>
              <w:t>1.1817</w:t>
            </w:r>
          </w:p>
        </w:tc>
        <w:tc>
          <w:tcPr>
            <w:tcW w:w="1980" w:type="dxa"/>
            <w:vAlign w:val="center"/>
          </w:tcPr>
          <w:p w14:paraId="23E76101" w14:textId="77777777" w:rsidR="00103BE8" w:rsidRPr="00C3435B" w:rsidRDefault="00DC643B" w:rsidP="006E3162">
            <w:pPr>
              <w:jc w:val="center"/>
              <w:rPr>
                <w:b/>
              </w:rPr>
            </w:pPr>
            <w:r>
              <w:rPr>
                <w:b/>
              </w:rPr>
              <w:t>.0417</w:t>
            </w:r>
          </w:p>
        </w:tc>
        <w:tc>
          <w:tcPr>
            <w:tcW w:w="1286" w:type="dxa"/>
            <w:vAlign w:val="center"/>
          </w:tcPr>
          <w:p w14:paraId="7E812A3E" w14:textId="77777777" w:rsidR="00103BE8" w:rsidRPr="00C3435B" w:rsidRDefault="00DC643B" w:rsidP="006E3162">
            <w:pPr>
              <w:jc w:val="center"/>
              <w:rPr>
                <w:b/>
              </w:rPr>
            </w:pPr>
            <w:r>
              <w:rPr>
                <w:b/>
              </w:rPr>
              <w:t>&lt; .001</w:t>
            </w:r>
          </w:p>
        </w:tc>
      </w:tr>
      <w:tr w:rsidR="00FE0432" w14:paraId="26A2AFB6" w14:textId="77777777" w:rsidTr="00C04CEF">
        <w:tc>
          <w:tcPr>
            <w:tcW w:w="3888" w:type="dxa"/>
            <w:vAlign w:val="center"/>
          </w:tcPr>
          <w:p w14:paraId="45B25870" w14:textId="77777777" w:rsidR="00FE0432" w:rsidRDefault="00FE0432" w:rsidP="006E3162">
            <w:r>
              <w:t>Primary prescriber has waiver for 100 patients</w:t>
            </w:r>
          </w:p>
        </w:tc>
        <w:tc>
          <w:tcPr>
            <w:tcW w:w="1440" w:type="dxa"/>
            <w:vAlign w:val="center"/>
          </w:tcPr>
          <w:p w14:paraId="65F7AA2F" w14:textId="77777777" w:rsidR="00FE0432" w:rsidRPr="00C3435B" w:rsidRDefault="002E0469" w:rsidP="006E3162">
            <w:pPr>
              <w:jc w:val="center"/>
              <w:rPr>
                <w:b/>
              </w:rPr>
            </w:pPr>
            <w:r>
              <w:rPr>
                <w:b/>
              </w:rPr>
              <w:t>.7910</w:t>
            </w:r>
          </w:p>
        </w:tc>
        <w:tc>
          <w:tcPr>
            <w:tcW w:w="2070" w:type="dxa"/>
            <w:vAlign w:val="center"/>
          </w:tcPr>
          <w:p w14:paraId="6948C3AF" w14:textId="77777777" w:rsidR="00FE0432" w:rsidRPr="00C3435B" w:rsidRDefault="002E0469" w:rsidP="006E3162">
            <w:pPr>
              <w:jc w:val="center"/>
              <w:rPr>
                <w:b/>
              </w:rPr>
            </w:pPr>
            <w:r>
              <w:rPr>
                <w:b/>
              </w:rPr>
              <w:t>.0411</w:t>
            </w:r>
          </w:p>
        </w:tc>
        <w:tc>
          <w:tcPr>
            <w:tcW w:w="1260" w:type="dxa"/>
            <w:vAlign w:val="center"/>
          </w:tcPr>
          <w:p w14:paraId="2787FF05" w14:textId="77777777" w:rsidR="00FE0432" w:rsidRPr="00C3435B" w:rsidRDefault="002E0469" w:rsidP="006E3162">
            <w:pPr>
              <w:jc w:val="center"/>
              <w:rPr>
                <w:b/>
              </w:rPr>
            </w:pPr>
            <w:r>
              <w:rPr>
                <w:b/>
              </w:rPr>
              <w:t>&lt; .001</w:t>
            </w:r>
          </w:p>
        </w:tc>
        <w:tc>
          <w:tcPr>
            <w:tcW w:w="1530" w:type="dxa"/>
            <w:vAlign w:val="center"/>
          </w:tcPr>
          <w:p w14:paraId="274F329E" w14:textId="77777777" w:rsidR="00FE0432" w:rsidRPr="00C3435B" w:rsidRDefault="00DC643B" w:rsidP="006E3162">
            <w:pPr>
              <w:jc w:val="center"/>
              <w:rPr>
                <w:b/>
              </w:rPr>
            </w:pPr>
            <w:r>
              <w:rPr>
                <w:b/>
              </w:rPr>
              <w:t>.7936</w:t>
            </w:r>
          </w:p>
        </w:tc>
        <w:tc>
          <w:tcPr>
            <w:tcW w:w="1980" w:type="dxa"/>
            <w:vAlign w:val="center"/>
          </w:tcPr>
          <w:p w14:paraId="24559C09" w14:textId="77777777" w:rsidR="00FE0432" w:rsidRPr="00C3435B" w:rsidRDefault="00DC643B" w:rsidP="006E3162">
            <w:pPr>
              <w:jc w:val="center"/>
              <w:rPr>
                <w:b/>
              </w:rPr>
            </w:pPr>
            <w:r>
              <w:rPr>
                <w:b/>
              </w:rPr>
              <w:t>.0400</w:t>
            </w:r>
          </w:p>
        </w:tc>
        <w:tc>
          <w:tcPr>
            <w:tcW w:w="1286" w:type="dxa"/>
            <w:vAlign w:val="center"/>
          </w:tcPr>
          <w:p w14:paraId="034FC76F" w14:textId="77777777" w:rsidR="00FE0432" w:rsidRPr="00C3435B" w:rsidRDefault="00DC643B" w:rsidP="006E3162">
            <w:pPr>
              <w:jc w:val="center"/>
              <w:rPr>
                <w:b/>
              </w:rPr>
            </w:pPr>
            <w:r>
              <w:rPr>
                <w:b/>
              </w:rPr>
              <w:t>&lt; .001</w:t>
            </w:r>
          </w:p>
        </w:tc>
      </w:tr>
      <w:tr w:rsidR="00FE0432" w14:paraId="439E9D46" w14:textId="77777777" w:rsidTr="00C04CEF">
        <w:tc>
          <w:tcPr>
            <w:tcW w:w="3888" w:type="dxa"/>
            <w:vAlign w:val="center"/>
          </w:tcPr>
          <w:p w14:paraId="4A3BB069" w14:textId="77777777" w:rsidR="00FE0432" w:rsidRDefault="00FE0432" w:rsidP="006E3162">
            <w:r>
              <w:t>Primary prescriber has waiver for 275 patients</w:t>
            </w:r>
          </w:p>
        </w:tc>
        <w:tc>
          <w:tcPr>
            <w:tcW w:w="1440" w:type="dxa"/>
            <w:vAlign w:val="center"/>
          </w:tcPr>
          <w:p w14:paraId="6EEB8E13" w14:textId="77777777" w:rsidR="00FE0432" w:rsidRPr="00C3435B" w:rsidRDefault="002E0469" w:rsidP="006E3162">
            <w:pPr>
              <w:jc w:val="center"/>
              <w:rPr>
                <w:b/>
              </w:rPr>
            </w:pPr>
            <w:r>
              <w:rPr>
                <w:b/>
              </w:rPr>
              <w:t>.7860</w:t>
            </w:r>
          </w:p>
        </w:tc>
        <w:tc>
          <w:tcPr>
            <w:tcW w:w="2070" w:type="dxa"/>
            <w:vAlign w:val="center"/>
          </w:tcPr>
          <w:p w14:paraId="5DB65840" w14:textId="77777777" w:rsidR="00FE0432" w:rsidRPr="00C3435B" w:rsidRDefault="002E0469" w:rsidP="006E3162">
            <w:pPr>
              <w:jc w:val="center"/>
              <w:rPr>
                <w:b/>
              </w:rPr>
            </w:pPr>
            <w:r>
              <w:rPr>
                <w:b/>
              </w:rPr>
              <w:t>.0460</w:t>
            </w:r>
          </w:p>
        </w:tc>
        <w:tc>
          <w:tcPr>
            <w:tcW w:w="1260" w:type="dxa"/>
            <w:vAlign w:val="center"/>
          </w:tcPr>
          <w:p w14:paraId="37647813" w14:textId="77777777" w:rsidR="00FE0432" w:rsidRPr="00C3435B" w:rsidRDefault="002E0469" w:rsidP="006E3162">
            <w:pPr>
              <w:jc w:val="center"/>
              <w:rPr>
                <w:b/>
              </w:rPr>
            </w:pPr>
            <w:r>
              <w:rPr>
                <w:b/>
              </w:rPr>
              <w:t>&lt; .001</w:t>
            </w:r>
          </w:p>
        </w:tc>
        <w:tc>
          <w:tcPr>
            <w:tcW w:w="1530" w:type="dxa"/>
            <w:vAlign w:val="center"/>
          </w:tcPr>
          <w:p w14:paraId="245F4F2A" w14:textId="77777777" w:rsidR="00FE0432" w:rsidRPr="00C3435B" w:rsidRDefault="00DC643B" w:rsidP="006E3162">
            <w:pPr>
              <w:jc w:val="center"/>
              <w:rPr>
                <w:b/>
              </w:rPr>
            </w:pPr>
            <w:r>
              <w:rPr>
                <w:b/>
              </w:rPr>
              <w:t>.7901</w:t>
            </w:r>
          </w:p>
        </w:tc>
        <w:tc>
          <w:tcPr>
            <w:tcW w:w="1980" w:type="dxa"/>
            <w:vAlign w:val="center"/>
          </w:tcPr>
          <w:p w14:paraId="776CC510" w14:textId="77777777" w:rsidR="00FE0432" w:rsidRPr="00C3435B" w:rsidRDefault="00DC643B" w:rsidP="006E3162">
            <w:pPr>
              <w:jc w:val="center"/>
              <w:rPr>
                <w:b/>
              </w:rPr>
            </w:pPr>
            <w:r>
              <w:rPr>
                <w:b/>
              </w:rPr>
              <w:t>.0456</w:t>
            </w:r>
          </w:p>
        </w:tc>
        <w:tc>
          <w:tcPr>
            <w:tcW w:w="1286" w:type="dxa"/>
            <w:vAlign w:val="center"/>
          </w:tcPr>
          <w:p w14:paraId="22D0E99B" w14:textId="77777777" w:rsidR="00FE0432" w:rsidRPr="00C3435B" w:rsidRDefault="00DC643B" w:rsidP="006E3162">
            <w:pPr>
              <w:jc w:val="center"/>
              <w:rPr>
                <w:b/>
              </w:rPr>
            </w:pPr>
            <w:r>
              <w:rPr>
                <w:b/>
              </w:rPr>
              <w:t>&lt; .001</w:t>
            </w:r>
          </w:p>
        </w:tc>
      </w:tr>
      <w:tr w:rsidR="00FE0432" w14:paraId="724D5887" w14:textId="77777777" w:rsidTr="00C04CEF">
        <w:tc>
          <w:tcPr>
            <w:tcW w:w="3888" w:type="dxa"/>
            <w:vAlign w:val="center"/>
          </w:tcPr>
          <w:p w14:paraId="37046896" w14:textId="77777777" w:rsidR="00FE0432" w:rsidRDefault="00FE0432" w:rsidP="00C04CEF">
            <w:r>
              <w:t xml:space="preserve">Primary prescriber </w:t>
            </w:r>
            <w:r w:rsidR="00C04CEF">
              <w:t>#</w:t>
            </w:r>
            <w:r>
              <w:t xml:space="preserve"> of shared-patient ties</w:t>
            </w:r>
            <w:r w:rsidR="00C04CEF">
              <w:t xml:space="preserve"> = 1 or 2</w:t>
            </w:r>
          </w:p>
        </w:tc>
        <w:tc>
          <w:tcPr>
            <w:tcW w:w="1440" w:type="dxa"/>
            <w:vAlign w:val="center"/>
          </w:tcPr>
          <w:p w14:paraId="3F2D1A62" w14:textId="77777777" w:rsidR="00FE0432" w:rsidRPr="00C3435B" w:rsidRDefault="002E0469" w:rsidP="006E3162">
            <w:pPr>
              <w:jc w:val="center"/>
              <w:rPr>
                <w:b/>
              </w:rPr>
            </w:pPr>
            <w:r>
              <w:rPr>
                <w:b/>
              </w:rPr>
              <w:t>1.2684</w:t>
            </w:r>
          </w:p>
        </w:tc>
        <w:tc>
          <w:tcPr>
            <w:tcW w:w="2070" w:type="dxa"/>
            <w:vAlign w:val="center"/>
          </w:tcPr>
          <w:p w14:paraId="4059FDEA" w14:textId="77777777" w:rsidR="00FE0432" w:rsidRPr="00C3435B" w:rsidRDefault="002E0469" w:rsidP="006E3162">
            <w:pPr>
              <w:jc w:val="center"/>
              <w:rPr>
                <w:b/>
              </w:rPr>
            </w:pPr>
            <w:r>
              <w:rPr>
                <w:b/>
              </w:rPr>
              <w:t>.0393</w:t>
            </w:r>
          </w:p>
        </w:tc>
        <w:tc>
          <w:tcPr>
            <w:tcW w:w="1260" w:type="dxa"/>
            <w:vAlign w:val="center"/>
          </w:tcPr>
          <w:p w14:paraId="576ECB74" w14:textId="77777777" w:rsidR="00FE0432" w:rsidRPr="00C3435B" w:rsidRDefault="002E0469" w:rsidP="006E3162">
            <w:pPr>
              <w:jc w:val="center"/>
              <w:rPr>
                <w:b/>
              </w:rPr>
            </w:pPr>
            <w:r>
              <w:rPr>
                <w:b/>
              </w:rPr>
              <w:t>&lt; .001</w:t>
            </w:r>
          </w:p>
        </w:tc>
        <w:tc>
          <w:tcPr>
            <w:tcW w:w="1530" w:type="dxa"/>
            <w:vAlign w:val="center"/>
          </w:tcPr>
          <w:p w14:paraId="50800BFD" w14:textId="77777777" w:rsidR="00FE0432" w:rsidRPr="00C3435B" w:rsidRDefault="00DC643B" w:rsidP="006E3162">
            <w:pPr>
              <w:jc w:val="center"/>
              <w:rPr>
                <w:b/>
              </w:rPr>
            </w:pPr>
            <w:r>
              <w:rPr>
                <w:b/>
              </w:rPr>
              <w:t>1.2691</w:t>
            </w:r>
          </w:p>
        </w:tc>
        <w:tc>
          <w:tcPr>
            <w:tcW w:w="1980" w:type="dxa"/>
            <w:vAlign w:val="center"/>
          </w:tcPr>
          <w:p w14:paraId="5B58C37F" w14:textId="77777777" w:rsidR="00FE0432" w:rsidRPr="00C3435B" w:rsidRDefault="00DC643B" w:rsidP="006E3162">
            <w:pPr>
              <w:jc w:val="center"/>
              <w:rPr>
                <w:b/>
              </w:rPr>
            </w:pPr>
            <w:r>
              <w:rPr>
                <w:b/>
              </w:rPr>
              <w:t>.0388</w:t>
            </w:r>
          </w:p>
        </w:tc>
        <w:tc>
          <w:tcPr>
            <w:tcW w:w="1286" w:type="dxa"/>
            <w:vAlign w:val="center"/>
          </w:tcPr>
          <w:p w14:paraId="7750D020" w14:textId="77777777" w:rsidR="00FE0432" w:rsidRPr="00C3435B" w:rsidRDefault="00DC643B" w:rsidP="006E3162">
            <w:pPr>
              <w:jc w:val="center"/>
              <w:rPr>
                <w:b/>
              </w:rPr>
            </w:pPr>
            <w:r>
              <w:rPr>
                <w:b/>
              </w:rPr>
              <w:t>&lt; .001</w:t>
            </w:r>
          </w:p>
        </w:tc>
      </w:tr>
      <w:tr w:rsidR="00C04CEF" w14:paraId="4859A301" w14:textId="77777777" w:rsidTr="00C04CEF">
        <w:tc>
          <w:tcPr>
            <w:tcW w:w="3888" w:type="dxa"/>
            <w:vAlign w:val="center"/>
          </w:tcPr>
          <w:p w14:paraId="1C4A2B75" w14:textId="77777777" w:rsidR="00C04CEF" w:rsidRDefault="00C04CEF" w:rsidP="00C04CEF">
            <w:r>
              <w:t>Primary prescriber # of shared-patient ties = 3 or more</w:t>
            </w:r>
          </w:p>
        </w:tc>
        <w:tc>
          <w:tcPr>
            <w:tcW w:w="1440" w:type="dxa"/>
            <w:vAlign w:val="center"/>
          </w:tcPr>
          <w:p w14:paraId="6471D715" w14:textId="77777777" w:rsidR="00C04CEF" w:rsidRPr="00C3435B" w:rsidRDefault="002E0469" w:rsidP="006E3162">
            <w:pPr>
              <w:jc w:val="center"/>
              <w:rPr>
                <w:b/>
              </w:rPr>
            </w:pPr>
            <w:r>
              <w:rPr>
                <w:b/>
              </w:rPr>
              <w:t>1.8252</w:t>
            </w:r>
          </w:p>
        </w:tc>
        <w:tc>
          <w:tcPr>
            <w:tcW w:w="2070" w:type="dxa"/>
            <w:vAlign w:val="center"/>
          </w:tcPr>
          <w:p w14:paraId="7E552794" w14:textId="77777777" w:rsidR="00C04CEF" w:rsidRPr="00C3435B" w:rsidRDefault="002E0469" w:rsidP="006E3162">
            <w:pPr>
              <w:jc w:val="center"/>
              <w:rPr>
                <w:b/>
              </w:rPr>
            </w:pPr>
            <w:r>
              <w:rPr>
                <w:b/>
              </w:rPr>
              <w:t>.0728</w:t>
            </w:r>
          </w:p>
        </w:tc>
        <w:tc>
          <w:tcPr>
            <w:tcW w:w="1260" w:type="dxa"/>
            <w:vAlign w:val="center"/>
          </w:tcPr>
          <w:p w14:paraId="23DC48A3" w14:textId="77777777" w:rsidR="00C04CEF" w:rsidRPr="00C3435B" w:rsidRDefault="002E0469" w:rsidP="006E3162">
            <w:pPr>
              <w:jc w:val="center"/>
              <w:rPr>
                <w:b/>
              </w:rPr>
            </w:pPr>
            <w:r>
              <w:rPr>
                <w:b/>
              </w:rPr>
              <w:t>&lt; .001</w:t>
            </w:r>
          </w:p>
        </w:tc>
        <w:tc>
          <w:tcPr>
            <w:tcW w:w="1530" w:type="dxa"/>
            <w:vAlign w:val="center"/>
          </w:tcPr>
          <w:p w14:paraId="54DB5008" w14:textId="77777777" w:rsidR="00C04CEF" w:rsidRPr="00C3435B" w:rsidRDefault="00DC643B" w:rsidP="006E3162">
            <w:pPr>
              <w:jc w:val="center"/>
              <w:rPr>
                <w:b/>
              </w:rPr>
            </w:pPr>
            <w:r>
              <w:rPr>
                <w:b/>
              </w:rPr>
              <w:t>1.8150</w:t>
            </w:r>
          </w:p>
        </w:tc>
        <w:tc>
          <w:tcPr>
            <w:tcW w:w="1980" w:type="dxa"/>
            <w:vAlign w:val="center"/>
          </w:tcPr>
          <w:p w14:paraId="7C9A334C" w14:textId="77777777" w:rsidR="00C04CEF" w:rsidRPr="00C3435B" w:rsidRDefault="00DC643B" w:rsidP="006E3162">
            <w:pPr>
              <w:jc w:val="center"/>
              <w:rPr>
                <w:b/>
              </w:rPr>
            </w:pPr>
            <w:r>
              <w:rPr>
                <w:b/>
              </w:rPr>
              <w:t>.0743</w:t>
            </w:r>
          </w:p>
        </w:tc>
        <w:tc>
          <w:tcPr>
            <w:tcW w:w="1286" w:type="dxa"/>
            <w:vAlign w:val="center"/>
          </w:tcPr>
          <w:p w14:paraId="42AED622" w14:textId="77777777" w:rsidR="00C04CEF" w:rsidRPr="00C3435B" w:rsidRDefault="00DC643B" w:rsidP="006E3162">
            <w:pPr>
              <w:jc w:val="center"/>
              <w:rPr>
                <w:b/>
              </w:rPr>
            </w:pPr>
            <w:r>
              <w:rPr>
                <w:b/>
              </w:rPr>
              <w:t>&lt; .001</w:t>
            </w:r>
          </w:p>
        </w:tc>
      </w:tr>
      <w:tr w:rsidR="00C04CEF" w14:paraId="67D3C29A" w14:textId="77777777" w:rsidTr="00C04CEF">
        <w:tc>
          <w:tcPr>
            <w:tcW w:w="3888" w:type="dxa"/>
            <w:vAlign w:val="center"/>
          </w:tcPr>
          <w:p w14:paraId="31CF303C" w14:textId="77777777" w:rsidR="00C04CEF" w:rsidRDefault="00C04CEF" w:rsidP="006E3162">
            <w:r>
              <w:t>General physician</w:t>
            </w:r>
          </w:p>
        </w:tc>
        <w:tc>
          <w:tcPr>
            <w:tcW w:w="1440" w:type="dxa"/>
            <w:vAlign w:val="center"/>
          </w:tcPr>
          <w:p w14:paraId="747A4396" w14:textId="77777777" w:rsidR="00C04CEF" w:rsidRPr="0050097F" w:rsidRDefault="002E0469" w:rsidP="006E3162">
            <w:pPr>
              <w:jc w:val="center"/>
            </w:pPr>
            <w:r w:rsidRPr="0050097F">
              <w:t>1.0023</w:t>
            </w:r>
          </w:p>
        </w:tc>
        <w:tc>
          <w:tcPr>
            <w:tcW w:w="2070" w:type="dxa"/>
            <w:vAlign w:val="center"/>
          </w:tcPr>
          <w:p w14:paraId="117FD0E0" w14:textId="77777777" w:rsidR="00C04CEF" w:rsidRPr="0050097F" w:rsidRDefault="0050097F" w:rsidP="006E3162">
            <w:pPr>
              <w:jc w:val="center"/>
            </w:pPr>
            <w:r w:rsidRPr="0050097F">
              <w:t>.0461</w:t>
            </w:r>
          </w:p>
        </w:tc>
        <w:tc>
          <w:tcPr>
            <w:tcW w:w="1260" w:type="dxa"/>
            <w:vAlign w:val="center"/>
          </w:tcPr>
          <w:p w14:paraId="6F7CCCC2" w14:textId="77777777" w:rsidR="00C04CEF" w:rsidRPr="0050097F" w:rsidRDefault="0050097F" w:rsidP="006E3162">
            <w:pPr>
              <w:jc w:val="center"/>
            </w:pPr>
            <w:r w:rsidRPr="0050097F">
              <w:t>.959</w:t>
            </w:r>
          </w:p>
        </w:tc>
        <w:tc>
          <w:tcPr>
            <w:tcW w:w="1530" w:type="dxa"/>
            <w:vAlign w:val="center"/>
          </w:tcPr>
          <w:p w14:paraId="21C80ED6" w14:textId="77777777" w:rsidR="00C04CEF" w:rsidRPr="00DC643B" w:rsidRDefault="00DC643B" w:rsidP="006E3162">
            <w:pPr>
              <w:jc w:val="center"/>
            </w:pPr>
            <w:r>
              <w:t>.9858</w:t>
            </w:r>
          </w:p>
        </w:tc>
        <w:tc>
          <w:tcPr>
            <w:tcW w:w="1980" w:type="dxa"/>
            <w:vAlign w:val="center"/>
          </w:tcPr>
          <w:p w14:paraId="12EDF200" w14:textId="77777777" w:rsidR="00C04CEF" w:rsidRPr="00DC643B" w:rsidRDefault="00DC643B" w:rsidP="006E3162">
            <w:pPr>
              <w:jc w:val="center"/>
            </w:pPr>
            <w:r>
              <w:t>.0469</w:t>
            </w:r>
          </w:p>
        </w:tc>
        <w:tc>
          <w:tcPr>
            <w:tcW w:w="1286" w:type="dxa"/>
            <w:vAlign w:val="center"/>
          </w:tcPr>
          <w:p w14:paraId="4D699DB3" w14:textId="77777777" w:rsidR="00C04CEF" w:rsidRPr="00DC643B" w:rsidRDefault="00DC643B" w:rsidP="006E3162">
            <w:pPr>
              <w:jc w:val="center"/>
            </w:pPr>
            <w:r>
              <w:t>.763</w:t>
            </w:r>
          </w:p>
        </w:tc>
      </w:tr>
      <w:tr w:rsidR="00C04CEF" w14:paraId="25820ED3" w14:textId="77777777" w:rsidTr="00C04CEF">
        <w:tc>
          <w:tcPr>
            <w:tcW w:w="3888" w:type="dxa"/>
            <w:vAlign w:val="center"/>
          </w:tcPr>
          <w:p w14:paraId="41DD8156" w14:textId="77777777" w:rsidR="00C04CEF" w:rsidRDefault="00C04CEF" w:rsidP="006E3162">
            <w:r>
              <w:t>Psychiatrist or neurologist</w:t>
            </w:r>
          </w:p>
        </w:tc>
        <w:tc>
          <w:tcPr>
            <w:tcW w:w="1440" w:type="dxa"/>
            <w:vAlign w:val="center"/>
          </w:tcPr>
          <w:p w14:paraId="69B78F97" w14:textId="77777777" w:rsidR="00C04CEF" w:rsidRPr="0050097F" w:rsidRDefault="0050097F" w:rsidP="006E3162">
            <w:pPr>
              <w:jc w:val="center"/>
            </w:pPr>
            <w:r>
              <w:t>1.0323</w:t>
            </w:r>
          </w:p>
        </w:tc>
        <w:tc>
          <w:tcPr>
            <w:tcW w:w="2070" w:type="dxa"/>
            <w:vAlign w:val="center"/>
          </w:tcPr>
          <w:p w14:paraId="420C7B68" w14:textId="77777777" w:rsidR="00C04CEF" w:rsidRPr="0050097F" w:rsidRDefault="0050097F" w:rsidP="006E3162">
            <w:pPr>
              <w:jc w:val="center"/>
            </w:pPr>
            <w:r>
              <w:t>.0527</w:t>
            </w:r>
          </w:p>
        </w:tc>
        <w:tc>
          <w:tcPr>
            <w:tcW w:w="1260" w:type="dxa"/>
            <w:vAlign w:val="center"/>
          </w:tcPr>
          <w:p w14:paraId="73E71FAB" w14:textId="77777777" w:rsidR="00C04CEF" w:rsidRPr="0050097F" w:rsidRDefault="0050097F" w:rsidP="006E3162">
            <w:pPr>
              <w:jc w:val="center"/>
            </w:pPr>
            <w:r>
              <w:t>.534</w:t>
            </w:r>
          </w:p>
        </w:tc>
        <w:tc>
          <w:tcPr>
            <w:tcW w:w="1530" w:type="dxa"/>
            <w:vAlign w:val="center"/>
          </w:tcPr>
          <w:p w14:paraId="04B6C9A0" w14:textId="77777777" w:rsidR="00C04CEF" w:rsidRPr="00DC643B" w:rsidRDefault="00DC643B" w:rsidP="006E3162">
            <w:pPr>
              <w:jc w:val="center"/>
            </w:pPr>
            <w:r>
              <w:t>1.0199</w:t>
            </w:r>
          </w:p>
        </w:tc>
        <w:tc>
          <w:tcPr>
            <w:tcW w:w="1980" w:type="dxa"/>
            <w:vAlign w:val="center"/>
          </w:tcPr>
          <w:p w14:paraId="7361C52E" w14:textId="77777777" w:rsidR="00C04CEF" w:rsidRPr="00DC643B" w:rsidRDefault="00DC643B" w:rsidP="006E3162">
            <w:pPr>
              <w:jc w:val="center"/>
            </w:pPr>
            <w:r>
              <w:t>.0535</w:t>
            </w:r>
          </w:p>
        </w:tc>
        <w:tc>
          <w:tcPr>
            <w:tcW w:w="1286" w:type="dxa"/>
            <w:vAlign w:val="center"/>
          </w:tcPr>
          <w:p w14:paraId="08D66F8C" w14:textId="77777777" w:rsidR="00C04CEF" w:rsidRPr="00DC643B" w:rsidRDefault="00DC643B" w:rsidP="006E3162">
            <w:pPr>
              <w:jc w:val="center"/>
            </w:pPr>
            <w:r>
              <w:t>.708</w:t>
            </w:r>
          </w:p>
        </w:tc>
      </w:tr>
      <w:tr w:rsidR="00C04CEF" w14:paraId="3825BF1F" w14:textId="77777777" w:rsidTr="00C04CEF">
        <w:tc>
          <w:tcPr>
            <w:tcW w:w="3888" w:type="dxa"/>
            <w:vAlign w:val="center"/>
          </w:tcPr>
          <w:p w14:paraId="097F7AA4" w14:textId="77777777" w:rsidR="00C04CEF" w:rsidRDefault="00C04CEF" w:rsidP="006E3162">
            <w:r>
              <w:t>Physician – other</w:t>
            </w:r>
          </w:p>
        </w:tc>
        <w:tc>
          <w:tcPr>
            <w:tcW w:w="1440" w:type="dxa"/>
            <w:vAlign w:val="center"/>
          </w:tcPr>
          <w:p w14:paraId="7A908BB7" w14:textId="77777777" w:rsidR="00C04CEF" w:rsidRPr="0050097F" w:rsidRDefault="0050097F" w:rsidP="006E3162">
            <w:pPr>
              <w:jc w:val="center"/>
            </w:pPr>
            <w:r>
              <w:t>1.0372</w:t>
            </w:r>
          </w:p>
        </w:tc>
        <w:tc>
          <w:tcPr>
            <w:tcW w:w="2070" w:type="dxa"/>
            <w:vAlign w:val="center"/>
          </w:tcPr>
          <w:p w14:paraId="164CD6C8" w14:textId="77777777" w:rsidR="00C04CEF" w:rsidRPr="0050097F" w:rsidRDefault="0050097F" w:rsidP="006E3162">
            <w:pPr>
              <w:jc w:val="center"/>
            </w:pPr>
            <w:r>
              <w:t>.0728</w:t>
            </w:r>
          </w:p>
        </w:tc>
        <w:tc>
          <w:tcPr>
            <w:tcW w:w="1260" w:type="dxa"/>
            <w:vAlign w:val="center"/>
          </w:tcPr>
          <w:p w14:paraId="1CD86E55" w14:textId="77777777" w:rsidR="00C04CEF" w:rsidRPr="0050097F" w:rsidRDefault="0050097F" w:rsidP="006E3162">
            <w:pPr>
              <w:jc w:val="center"/>
            </w:pPr>
            <w:r>
              <w:t>.603</w:t>
            </w:r>
          </w:p>
        </w:tc>
        <w:tc>
          <w:tcPr>
            <w:tcW w:w="1530" w:type="dxa"/>
            <w:vAlign w:val="center"/>
          </w:tcPr>
          <w:p w14:paraId="360D64C8" w14:textId="77777777" w:rsidR="00C04CEF" w:rsidRPr="00DC643B" w:rsidRDefault="00DC643B" w:rsidP="006E3162">
            <w:pPr>
              <w:jc w:val="center"/>
            </w:pPr>
            <w:r>
              <w:t>1.0267</w:t>
            </w:r>
          </w:p>
        </w:tc>
        <w:tc>
          <w:tcPr>
            <w:tcW w:w="1980" w:type="dxa"/>
            <w:vAlign w:val="center"/>
          </w:tcPr>
          <w:p w14:paraId="3AE02572" w14:textId="77777777" w:rsidR="00C04CEF" w:rsidRPr="00DC643B" w:rsidRDefault="00DC643B" w:rsidP="006E3162">
            <w:pPr>
              <w:jc w:val="center"/>
            </w:pPr>
            <w:r>
              <w:t>.0748</w:t>
            </w:r>
          </w:p>
        </w:tc>
        <w:tc>
          <w:tcPr>
            <w:tcW w:w="1286" w:type="dxa"/>
            <w:vAlign w:val="center"/>
          </w:tcPr>
          <w:p w14:paraId="4409699F" w14:textId="77777777" w:rsidR="00C04CEF" w:rsidRPr="00DC643B" w:rsidRDefault="00DC643B" w:rsidP="006E3162">
            <w:pPr>
              <w:jc w:val="center"/>
            </w:pPr>
            <w:r>
              <w:t>.718</w:t>
            </w:r>
          </w:p>
        </w:tc>
      </w:tr>
      <w:tr w:rsidR="00C04CEF" w14:paraId="4A03140B" w14:textId="77777777" w:rsidTr="00C04CEF">
        <w:tc>
          <w:tcPr>
            <w:tcW w:w="3888" w:type="dxa"/>
            <w:vAlign w:val="center"/>
          </w:tcPr>
          <w:p w14:paraId="1B21D13F" w14:textId="77777777" w:rsidR="00C04CEF" w:rsidRDefault="00C04CEF" w:rsidP="006E3162">
            <w:r>
              <w:t>NP/PA</w:t>
            </w:r>
          </w:p>
        </w:tc>
        <w:tc>
          <w:tcPr>
            <w:tcW w:w="1440" w:type="dxa"/>
            <w:vAlign w:val="center"/>
          </w:tcPr>
          <w:p w14:paraId="7B650E36" w14:textId="77777777" w:rsidR="00C04CEF" w:rsidRPr="00C3435B" w:rsidRDefault="0050097F" w:rsidP="006E3162">
            <w:pPr>
              <w:jc w:val="center"/>
              <w:rPr>
                <w:b/>
              </w:rPr>
            </w:pPr>
            <w:r>
              <w:rPr>
                <w:b/>
              </w:rPr>
              <w:t>1.5046</w:t>
            </w:r>
          </w:p>
        </w:tc>
        <w:tc>
          <w:tcPr>
            <w:tcW w:w="2070" w:type="dxa"/>
            <w:vAlign w:val="center"/>
          </w:tcPr>
          <w:p w14:paraId="6EDF33E3" w14:textId="77777777" w:rsidR="00C04CEF" w:rsidRPr="00C3435B" w:rsidRDefault="0050097F" w:rsidP="006E3162">
            <w:pPr>
              <w:jc w:val="center"/>
              <w:rPr>
                <w:b/>
              </w:rPr>
            </w:pPr>
            <w:r>
              <w:rPr>
                <w:b/>
              </w:rPr>
              <w:t>.1041</w:t>
            </w:r>
          </w:p>
        </w:tc>
        <w:tc>
          <w:tcPr>
            <w:tcW w:w="1260" w:type="dxa"/>
            <w:vAlign w:val="center"/>
          </w:tcPr>
          <w:p w14:paraId="03D6787D" w14:textId="77777777" w:rsidR="00C04CEF" w:rsidRPr="00C3435B" w:rsidRDefault="0050097F" w:rsidP="006E3162">
            <w:pPr>
              <w:jc w:val="center"/>
              <w:rPr>
                <w:b/>
              </w:rPr>
            </w:pPr>
            <w:r>
              <w:rPr>
                <w:b/>
              </w:rPr>
              <w:t>&lt; .001</w:t>
            </w:r>
          </w:p>
        </w:tc>
        <w:tc>
          <w:tcPr>
            <w:tcW w:w="1530" w:type="dxa"/>
            <w:vAlign w:val="center"/>
          </w:tcPr>
          <w:p w14:paraId="55D911F9" w14:textId="77777777" w:rsidR="00C04CEF" w:rsidRPr="00C3435B" w:rsidRDefault="00DC643B" w:rsidP="006E3162">
            <w:pPr>
              <w:jc w:val="center"/>
              <w:rPr>
                <w:b/>
              </w:rPr>
            </w:pPr>
            <w:r>
              <w:rPr>
                <w:b/>
              </w:rPr>
              <w:t>1.4770</w:t>
            </w:r>
          </w:p>
        </w:tc>
        <w:tc>
          <w:tcPr>
            <w:tcW w:w="1980" w:type="dxa"/>
            <w:vAlign w:val="center"/>
          </w:tcPr>
          <w:p w14:paraId="03937100" w14:textId="77777777" w:rsidR="00C04CEF" w:rsidRPr="00C3435B" w:rsidRDefault="00DC643B" w:rsidP="006E3162">
            <w:pPr>
              <w:jc w:val="center"/>
              <w:rPr>
                <w:b/>
              </w:rPr>
            </w:pPr>
            <w:r>
              <w:rPr>
                <w:b/>
              </w:rPr>
              <w:t>.1032</w:t>
            </w:r>
          </w:p>
        </w:tc>
        <w:tc>
          <w:tcPr>
            <w:tcW w:w="1286" w:type="dxa"/>
            <w:vAlign w:val="center"/>
          </w:tcPr>
          <w:p w14:paraId="4A62C3EC" w14:textId="77777777" w:rsidR="00C04CEF" w:rsidRPr="00C3435B" w:rsidRDefault="00DC643B" w:rsidP="006E3162">
            <w:pPr>
              <w:jc w:val="center"/>
              <w:rPr>
                <w:b/>
              </w:rPr>
            </w:pPr>
            <w:r>
              <w:rPr>
                <w:b/>
              </w:rPr>
              <w:t>&lt; .001</w:t>
            </w:r>
          </w:p>
        </w:tc>
      </w:tr>
    </w:tbl>
    <w:p w14:paraId="7324C5A1" w14:textId="77777777" w:rsidR="00C04CEF" w:rsidRDefault="00C04CEF" w:rsidP="00C04CEF">
      <w:pPr>
        <w:tabs>
          <w:tab w:val="left" w:pos="900"/>
        </w:tabs>
        <w:spacing w:before="120" w:after="0"/>
        <w:ind w:left="720" w:hanging="720"/>
      </w:pPr>
      <w:r>
        <w:t>Note: 67,251 patients for the period April 1, 2011 – December 31, 2018. Higher hazard ratios represent shorter treatment duration.</w:t>
      </w:r>
    </w:p>
    <w:p w14:paraId="64BEB74F" w14:textId="77777777" w:rsidR="001C1C75" w:rsidRDefault="001C1C75" w:rsidP="001C1C75">
      <w:pPr>
        <w:tabs>
          <w:tab w:val="left" w:pos="900"/>
        </w:tabs>
        <w:spacing w:before="120"/>
        <w:ind w:left="720" w:hanging="720"/>
        <w:sectPr w:rsidR="001C1C75" w:rsidSect="004A10EA">
          <w:pgSz w:w="15840" w:h="12240" w:orient="landscape"/>
          <w:pgMar w:top="1440" w:right="1440" w:bottom="1440" w:left="1440" w:header="720" w:footer="720" w:gutter="0"/>
          <w:cols w:space="720"/>
          <w:docGrid w:linePitch="360"/>
        </w:sectPr>
      </w:pPr>
    </w:p>
    <w:p w14:paraId="038B3B6D" w14:textId="77777777" w:rsidR="003B77E7" w:rsidRPr="003B77E7" w:rsidRDefault="003B77E7" w:rsidP="008C2357">
      <w:pPr>
        <w:tabs>
          <w:tab w:val="left" w:pos="900"/>
        </w:tabs>
        <w:spacing w:before="120"/>
        <w:ind w:left="720" w:hanging="720"/>
        <w:rPr>
          <w:b/>
        </w:rPr>
      </w:pPr>
      <w:r w:rsidRPr="003B77E7">
        <w:rPr>
          <w:b/>
        </w:rPr>
        <w:lastRenderedPageBreak/>
        <w:t xml:space="preserve">V. </w:t>
      </w:r>
      <w:r w:rsidRPr="003B77E7">
        <w:rPr>
          <w:b/>
        </w:rPr>
        <w:tab/>
        <w:t>Implications and recommendations</w:t>
      </w:r>
    </w:p>
    <w:p w14:paraId="0F738364" w14:textId="77777777" w:rsidR="003B77E7" w:rsidRDefault="003B77E7" w:rsidP="003B77E7">
      <w:r w:rsidRPr="003B77E7">
        <w:rPr>
          <w:u w:val="single"/>
        </w:rPr>
        <w:t>Implications</w:t>
      </w:r>
      <w:r>
        <w:t>. A number of our findings appear to converge as follows. The availability of the 275-patient waiver, starting in September, 2016, led to a surge in adoption of that waiver and also had a powerful upstream influence on the adoption of waivers for 100 and 30 patients. Adoptions of the 100- and, especially, the 275-patient waiver helped to stabilize prescriber shared-patient networks beginning in 2015: on average, prescribers with the 100-patient waiver had about three times as many shared-patient ties (of 10 or more patients in a year) as prescribers with the 30-patients waiver, and prescribers with the 275-patient waiver had, in turn, almost three times as many shared patient ties as prescribers with the 100-patient waiver.</w:t>
      </w:r>
      <w:r>
        <w:rPr>
          <w:rStyle w:val="FootnoteReference"/>
        </w:rPr>
        <w:footnoteReference w:id="41"/>
      </w:r>
      <w:r>
        <w:t xml:space="preserve"> That is, prescribers with waivers for the higher patient limits tended to be “hubs” in the shared-patient networks, linking many other prescribers and providing a kind of glue for the network as a whole. The presence of network hubs facilitates a network’s having small-world properties,</w:t>
      </w:r>
      <w:r>
        <w:rPr>
          <w:rStyle w:val="FootnoteReference"/>
        </w:rPr>
        <w:footnoteReference w:id="42"/>
      </w:r>
      <w:r>
        <w:t xml:space="preserve"> whereby any network member is reachable in a few steps (i.e., prescriber ties) from any other member, and where the distribution of shared-patient ties among network members tends to follow a power law – a few highly-connected prescribers and many other prescribers with relatively few connections. Small world-ness is also associated with network stability and robustness in the face of external changes: patterns of shared-patient ties tend to persist, even as the individual patients change, especially in networks with small-world properties.</w:t>
      </w:r>
    </w:p>
    <w:p w14:paraId="5D844F0B" w14:textId="77777777" w:rsidR="003B77E7" w:rsidRDefault="003B77E7" w:rsidP="003B77E7">
      <w:r>
        <w:t xml:space="preserve">Proportionally to the number of waivered prescribers in a county, prescribers with the 275-patient waiver tended to be located in counties with lower percentages of black or Hispanic residents. </w:t>
      </w:r>
      <w:r w:rsidR="003215BD">
        <w:t xml:space="preserve">In addition, prescribers with the 275-patient waiver located in counties with fewer black or Hispanic residents tended to treat higher numbers of MOUD patients. Both effects combine to imply that the location of </w:t>
      </w:r>
      <w:r>
        <w:t>275-patient waivered prescribers tends to support racial/ethnic disparities in access to treatment. Because 275-waivered prescribers also have the most shared-patient ties, they tend to provide a scaffold for more robust shared-patient prescriber networks, whose small-world properties facilitate prescriber access to peer information, resource, and support. The 275-patient waiver thus also supports racial/ethnic disparities in the properties of these networks that support prescribers in treating more patients.</w:t>
      </w:r>
      <w:r w:rsidR="003215BD">
        <w:t xml:space="preserve"> This consequence of the advent of the 275-patient waiver appears to continue (and perhaps strengthen) a trend already present prior to 2016 in the location of prescribers waivered for 100 patients.</w:t>
      </w:r>
    </w:p>
    <w:p w14:paraId="37D95048" w14:textId="77777777" w:rsidR="00E1278D" w:rsidRDefault="004F27A9" w:rsidP="003B77E7">
      <w:r>
        <w:t>Our premise that shared-patient ties (o</w:t>
      </w:r>
      <w:r w:rsidR="0001699C">
        <w:t>f</w:t>
      </w:r>
      <w:r>
        <w:t xml:space="preserve"> at least 10 patients in a year) among prescribers could serve as a proxy for communication ties appears to have been upheld in the findings of the adoption of the 30-, 100-, and 275-patient waivers. </w:t>
      </w:r>
      <w:r w:rsidR="003B77E7">
        <w:t xml:space="preserve">By 2018, adoption of the 275-patient waiver by prescribers already waivered for 100 patients was driven by shared-patient ties as well as by the number of patients these prescribers were already treating, and by 2019, adoption was driven mainly by shared-patient ties. </w:t>
      </w:r>
      <w:r>
        <w:lastRenderedPageBreak/>
        <w:t>Similarly, by 2018 adoption of the 100-patient waiver was driven by shared-patient ties, as it had been prior to 2015</w:t>
      </w:r>
      <w:r w:rsidR="003B77E7">
        <w:t xml:space="preserve">. </w:t>
      </w:r>
      <w:r w:rsidR="00E1278D">
        <w:t>F</w:t>
      </w:r>
      <w:r w:rsidR="00362C37">
        <w:t>u</w:t>
      </w:r>
      <w:r w:rsidR="00E1278D">
        <w:t>rther, in our analysis of initially becoming waivered in 2012</w:t>
      </w:r>
      <w:r w:rsidR="0001699C">
        <w:t>-2017</w:t>
      </w:r>
      <w:r w:rsidR="00E1278D">
        <w:t>, we found that having non-buprenorphine shared-patient ties with waivered prescribers was associated with becoming waivered for 30 patients</w:t>
      </w:r>
      <w:r w:rsidR="00362C37">
        <w:t xml:space="preserve"> (and thus providing a pool of potential adopters of the 100-patient waiver)</w:t>
      </w:r>
      <w:r w:rsidR="00E1278D">
        <w:t>.</w:t>
      </w:r>
      <w:r w:rsidR="00362C37">
        <w:t xml:space="preserve"> </w:t>
      </w:r>
      <w:r w:rsidR="00AB4441">
        <w:t>Because shared-patient ties are less prevalent, on average, in counties with higher proportions of black or Hispanic residents, t</w:t>
      </w:r>
      <w:r w:rsidR="00362C37">
        <w:t xml:space="preserve">hese waiver adoption findings </w:t>
      </w:r>
      <w:r w:rsidR="00AB4441">
        <w:t>support</w:t>
      </w:r>
      <w:r w:rsidR="00362C37">
        <w:t xml:space="preserve"> the earlier findings of racial and ethnic disparities in access to treatment and </w:t>
      </w:r>
      <w:r w:rsidR="00AB4441">
        <w:t xml:space="preserve">in </w:t>
      </w:r>
      <w:r w:rsidR="00362C37">
        <w:t xml:space="preserve">provider network properties </w:t>
      </w:r>
      <w:r w:rsidR="00AB4441">
        <w:t>that support access to treatment</w:t>
      </w:r>
      <w:r w:rsidR="00362C37">
        <w:t>.</w:t>
      </w:r>
      <w:r w:rsidR="00E1278D">
        <w:t xml:space="preserve"> </w:t>
      </w:r>
    </w:p>
    <w:p w14:paraId="26E9BA97" w14:textId="77777777" w:rsidR="00AB4441" w:rsidRDefault="00AB4441" w:rsidP="003B77E7">
      <w:r>
        <w:t>Finally, our findings on treatment duration reinforce these conclusions about disparities. We found evidence of shorter treatment duration in counties with a higher proportion of Hispanic residents and in Suffolk County, which has the highest proportion of black residents (though not in counties with medium proportions of black residents, compared with counties with the fewest black residents). We also found that patients whose primary prescriber was waivered for 100 or for 275 patients had longer treatment duration.</w:t>
      </w:r>
    </w:p>
    <w:p w14:paraId="6FA803ED" w14:textId="77777777" w:rsidR="0001699C" w:rsidRDefault="0001699C" w:rsidP="0001699C">
      <w:pPr>
        <w:spacing w:after="0"/>
      </w:pPr>
      <w:r w:rsidRPr="0001699C">
        <w:rPr>
          <w:i/>
        </w:rPr>
        <w:t>Strengths</w:t>
      </w:r>
      <w:r>
        <w:t>. The study had several strengths. To our knowledge, it broke new ground in the following areas:</w:t>
      </w:r>
    </w:p>
    <w:p w14:paraId="1BAB8978" w14:textId="77777777" w:rsidR="0001699C" w:rsidRDefault="0001699C" w:rsidP="0001699C">
      <w:pPr>
        <w:pStyle w:val="ListParagraph"/>
        <w:numPr>
          <w:ilvl w:val="0"/>
          <w:numId w:val="14"/>
        </w:numPr>
      </w:pPr>
      <w:r>
        <w:t xml:space="preserve">We used prescription monitoring program data to construct prescriber shared-patient networks. Previous studies have all used insurance claims data for this purpose (e.g., Medicare claims data). </w:t>
      </w:r>
      <w:r w:rsidR="003A5495">
        <w:t>We thus ensured that all buprenorphine prescriptions for OUD treatment (i.e., Suboxone) would be included.</w:t>
      </w:r>
    </w:p>
    <w:p w14:paraId="1EC58980" w14:textId="77777777" w:rsidR="003A5495" w:rsidRDefault="003A5495" w:rsidP="0001699C">
      <w:pPr>
        <w:pStyle w:val="ListParagraph"/>
        <w:numPr>
          <w:ilvl w:val="0"/>
          <w:numId w:val="14"/>
        </w:numPr>
      </w:pPr>
      <w:r>
        <w:t>We found direct evidence of racial and ethnic disparities in access to MOUD treatment in Massachusetts counties over eight years.</w:t>
      </w:r>
    </w:p>
    <w:p w14:paraId="1B38C33A" w14:textId="77777777" w:rsidR="003A5495" w:rsidRDefault="003A5495" w:rsidP="0001699C">
      <w:pPr>
        <w:pStyle w:val="ListParagraph"/>
        <w:numPr>
          <w:ilvl w:val="0"/>
          <w:numId w:val="14"/>
        </w:numPr>
      </w:pPr>
      <w:r>
        <w:t>Using rigorous models, we examined properties of buprenorphine shared-patient networks thought to be associated with provider access to peer information, resources, and support in relation to county demographics in Massachusetts. We also found effects of these networks properties on access to treatment.</w:t>
      </w:r>
    </w:p>
    <w:p w14:paraId="6BA645BC" w14:textId="77777777" w:rsidR="003A5495" w:rsidRDefault="003A5495" w:rsidP="0001699C">
      <w:pPr>
        <w:pStyle w:val="ListParagraph"/>
        <w:numPr>
          <w:ilvl w:val="0"/>
          <w:numId w:val="14"/>
        </w:numPr>
      </w:pPr>
      <w:r>
        <w:t xml:space="preserve">We identified factors associated with the adoption of the 30-, 100-, and 275-patient buprenorphine waivers. In particular, we found significant effects of shared-patient ties with waivered prescribers on the likelihood of adoption, both non-buprenorphine shared-patient ties (in the case of initially becoming waivered) and buprenorphine shared-patient ties (in the cases of adoption of the waivers for 100 and 275 patient limits). </w:t>
      </w:r>
    </w:p>
    <w:p w14:paraId="64CE29F1" w14:textId="77777777" w:rsidR="0051439B" w:rsidRDefault="00B60F50" w:rsidP="0051439B">
      <w:r w:rsidRPr="00B60F50">
        <w:rPr>
          <w:i/>
        </w:rPr>
        <w:t>Limitations</w:t>
      </w:r>
      <w:r>
        <w:t xml:space="preserve">. The study also had several limitations. </w:t>
      </w:r>
      <w:r w:rsidR="00DF26A0">
        <w:t>Because the PMP data does not include patient race or ethnicity, we relied on the race and ethnicity of geographic areas to analyze disparities in MOUD treatment. We settled on county as the most viable such area because it yielded the most reliable measures of prescriber networks over time. However, Massachusetts has only 12 counties with enough waivered prescribers to analyze. Even eight years of data produces a total of 96 observations. Although we found significant effects of race and ethnicity on access to treatment and on network properties, this is a relatively small number of observations from which to generalize.</w:t>
      </w:r>
    </w:p>
    <w:p w14:paraId="542BEB13" w14:textId="77777777" w:rsidR="00DF26A0" w:rsidRDefault="00DF26A0" w:rsidP="0051439B">
      <w:r>
        <w:t xml:space="preserve">Although we found highly significant effects of both non-buprenorphine and buprenorphine shared-patient ties on adoption of the different waiver categories, we were not in every year able to control for </w:t>
      </w:r>
      <w:r>
        <w:lastRenderedPageBreak/>
        <w:t>prescriber factors that might influence adoption, such as total number of patients (for initial waiver adoption) or percent of patients who paid for their prescription with Medicaid (for years prior to 2016). When we were able to control for such factors, however, we still found significant effects of shared-patient ties on waiver adoption.</w:t>
      </w:r>
    </w:p>
    <w:p w14:paraId="33E620A7" w14:textId="77777777" w:rsidR="003B77E7" w:rsidRDefault="003B77E7" w:rsidP="003B77E7">
      <w:r>
        <w:t>Based on the foregoing implications, we offer the following recommendations.</w:t>
      </w:r>
    </w:p>
    <w:p w14:paraId="1E7F7DF6" w14:textId="77777777" w:rsidR="003B77E7" w:rsidRDefault="003B77E7" w:rsidP="003B77E7">
      <w:r w:rsidRPr="00F20E27">
        <w:rPr>
          <w:u w:val="single"/>
        </w:rPr>
        <w:t>Recommendations</w:t>
      </w:r>
      <w:r>
        <w:t>. (1) Existing shared-patient networks can be used to identify prescribers in the role of network broker, or “structural hole,” who serve to connect different subgroups of a network. To increase the small world properties of a network in which they are embedded, or to which their network is adjacent, these prescribers might be provided incentives to form new shared-patient connections with prescribers in network subgroups with which they currently do not share patients. Because such prescribers have experience in linking different subgroups, and presumably benefit by being able to access different sources of information and resources associated with these subgroups, they are more likely than other prescribers to be willing and able to make new connections. An educational or training event might bring them together with prescribers to newly connect with. However, maintaining ongoing connections requires an ongoing benefit, which might eventually take the form of information and resources different from those received elsewhere, but which probably needs an additional incentive to become established.</w:t>
      </w:r>
    </w:p>
    <w:p w14:paraId="1C10114C" w14:textId="77777777" w:rsidR="009415A7" w:rsidRDefault="003B77E7" w:rsidP="003B77E7">
      <w:r w:rsidRPr="00E5129C">
        <w:t>(2)</w:t>
      </w:r>
      <w:r w:rsidR="009415A7">
        <w:t xml:space="preserve"> Shared-patient networks can also be used to identify prescribers who are “influencers.” We computed total shared-patient ties for potential adopters of each waiver status. However, ties with specific individuals could also be computed, as well as the number of potential adopters tied to each individual who went on to adopt a higher patient limit. Prescribers with high numbers of ties to potential adopters who later adopted higher patient limits might have greater influence in facilitating such adoptions. These individuals could be recruited to serve as mentors (see (3) below).</w:t>
      </w:r>
    </w:p>
    <w:p w14:paraId="2F745CAA" w14:textId="77777777" w:rsidR="003B77E7" w:rsidRPr="00E5129C" w:rsidRDefault="009415A7" w:rsidP="003B77E7">
      <w:r>
        <w:t>(3)</w:t>
      </w:r>
      <w:r w:rsidR="003B77E7" w:rsidRPr="00E5129C">
        <w:t xml:space="preserve"> </w:t>
      </w:r>
      <w:r w:rsidR="003B77E7">
        <w:t>In counties with lower access to treatment, and where prescriber networks are characterized by weaker small world properties, a mentorship program might be set up encourage prescribers currently waivered for 30 or 100 patients to become waivered for 275 patients, and to support them in providing treatment to more patients. Specifically, they might be paired with a prescriber currently waivered for 275 patients (whether in the same or an adjacent county), whom they could observe and from whom they could receive coaching and support to build their own treatment practice. At least some prospective mentors may need an incentive to participate in such a program; for others, the possibility of assisting a peer to help address disparities in access to treatment may be enough. In addition to being waivered for 275 patients, prospective mentors might be selected based on continuing growth in the number of patients they treat and their centrality (i.e., number of shared-patient ties) in their prescriber network.</w:t>
      </w:r>
    </w:p>
    <w:p w14:paraId="1E13A73F" w14:textId="77777777" w:rsidR="003B77E7" w:rsidRDefault="003B77E7" w:rsidP="003B77E7">
      <w:r w:rsidRPr="009E6DC7">
        <w:t>(</w:t>
      </w:r>
      <w:r w:rsidR="00E05127">
        <w:t>4</w:t>
      </w:r>
      <w:r w:rsidRPr="009E6DC7">
        <w:t>)</w:t>
      </w:r>
      <w:r>
        <w:rPr>
          <w:u w:val="single"/>
        </w:rPr>
        <w:t xml:space="preserve"> </w:t>
      </w:r>
      <w:r w:rsidRPr="00F20E27">
        <w:t>Further study is needed on the following topics to help tailor efforts to address racial/ethnic disparities in access to treatment.</w:t>
      </w:r>
    </w:p>
    <w:p w14:paraId="7303EC48" w14:textId="77777777" w:rsidR="003B77E7" w:rsidRDefault="003B77E7" w:rsidP="00E05127">
      <w:pPr>
        <w:pStyle w:val="ListParagraph"/>
        <w:numPr>
          <w:ilvl w:val="0"/>
          <w:numId w:val="11"/>
        </w:numPr>
      </w:pPr>
      <w:r>
        <w:t xml:space="preserve">Hampden County appears to be an outlier in our data, in that it ranked third among counties in percent of residents who are black and first in percent of residents who are Hispanic, yet it ranked in </w:t>
      </w:r>
      <w:r>
        <w:lastRenderedPageBreak/>
        <w:t>the upper half of counties in access to treatment. It also ranked high (better) in the percent of network prescribers in the largest connected component, the Small World Index, and network centralization. Understanding how Hampden County achieved this level of access to treatment and prescriber network properties could give clues to how other counties with relatively high percentages of black and Hispanic residents can increase access to treatment.</w:t>
      </w:r>
      <w:r w:rsidR="004F0AB4">
        <w:t xml:space="preserve"> For example, Hampden County is known for its intensive efforts in recent years to provide MOUD treatment to incarcerated individuals, and to link these individuals with ongoing treatment once they leave incarceration. Such efforts may involve a number of waivered providers in coordinating and maintaining treatment for these individuals, thus involving them in expanded shared-patient networks.</w:t>
      </w:r>
    </w:p>
    <w:p w14:paraId="788C8289" w14:textId="77777777" w:rsidR="003B77E7" w:rsidRDefault="003B77E7" w:rsidP="00E05127">
      <w:pPr>
        <w:pStyle w:val="ListParagraph"/>
        <w:numPr>
          <w:ilvl w:val="0"/>
          <w:numId w:val="11"/>
        </w:numPr>
      </w:pPr>
      <w:r>
        <w:t>Many prescribers waivered for 30 patients stopped prescribing buprenorphine altogether. This was especially pronounced in counties with higher percentages of black or Hispanic residents. Understanding the reasons for their stopping (or never starting) and what would have helped them develop or maintain treatment of MOUD patients would inform efforts to prevent their stopping.</w:t>
      </w:r>
      <w:r w:rsidR="004F0AB4">
        <w:t xml:space="preserve"> For example, having non-buprenorphine ties with waivered prescribers increased the likelihood of a provider’s initially becoming waivered. And shared buprenorphine-patient ties for 30-patient waivered prescribers were associated with a higher likelihood of their becoming waivered for 100 patients. It was beyond the scope of this study to examine the role that shared-patient ties might play in maintaining or increasing the number of MOUD patients</w:t>
      </w:r>
      <w:r w:rsidR="00E37518">
        <w:t>. But because of the role these ties play in facilitating adoption of increasing waiver patient limits, it seems reasonable to hypothesize that their presence would support the provision of MOUD treatment to consistent or increasing numbers of patients.</w:t>
      </w:r>
    </w:p>
    <w:p w14:paraId="4178AFB1" w14:textId="77777777" w:rsidR="003B77E7" w:rsidRDefault="003B77E7" w:rsidP="00E05127">
      <w:pPr>
        <w:pStyle w:val="ListParagraph"/>
        <w:numPr>
          <w:ilvl w:val="0"/>
          <w:numId w:val="11"/>
        </w:numPr>
      </w:pPr>
      <w:r>
        <w:t>To help counties facilitate their prescribers’ adoption of the 275-patient waiver as well as increase shared-patient ties among prescribers, a more detailed understanding of these ties is needed. In particular,</w:t>
      </w:r>
    </w:p>
    <w:p w14:paraId="4DF8DEC2" w14:textId="77777777" w:rsidR="003B77E7" w:rsidRDefault="003B77E7" w:rsidP="00E05127">
      <w:pPr>
        <w:pStyle w:val="ListParagraph"/>
        <w:numPr>
          <w:ilvl w:val="1"/>
          <w:numId w:val="11"/>
        </w:numPr>
      </w:pPr>
      <w:r>
        <w:t>To what extent does belonging to the same group practice account for shared-patient ties? Do shared-patient ties among members of the same practice have the same effects (e.g., in driving adoption of waivers for higher patient limits) as ties between prescribers in different practices? (Answering these questions requires access to data on membership in group practices, which we currently do not have.)</w:t>
      </w:r>
    </w:p>
    <w:p w14:paraId="5F86A0ED" w14:textId="77777777" w:rsidR="003B77E7" w:rsidRDefault="003B77E7" w:rsidP="00E05127">
      <w:pPr>
        <w:pStyle w:val="ListParagraph"/>
        <w:numPr>
          <w:ilvl w:val="1"/>
          <w:numId w:val="11"/>
        </w:numPr>
      </w:pPr>
      <w:r>
        <w:t>How do a prescriber’s shared-patient ties change/increase as the prescriber becomes waivered for higher patient limits? Which other prescribers do they connect with (i.e., medical specialty, waiver patient limits)? What factors facilitate growth in shared-patient ties and in number of MOUD patients?</w:t>
      </w:r>
      <w:r w:rsidR="00387436">
        <w:t xml:space="preserve"> How do these factors differ in communities with higher proportions of non-white residents?</w:t>
      </w:r>
    </w:p>
    <w:p w14:paraId="4AD885E1" w14:textId="77777777" w:rsidR="003B77E7" w:rsidRDefault="003B77E7" w:rsidP="00E05127">
      <w:pPr>
        <w:pStyle w:val="ListParagraph"/>
        <w:numPr>
          <w:ilvl w:val="0"/>
          <w:numId w:val="11"/>
        </w:numPr>
      </w:pPr>
      <w:r>
        <w:t>Based on the data we have, we can only infer MOUD patient status. It would be helpful to link our data with, e.g., the Massachusetts All-payer Claims data to obtain clinical information about the patient. This data source also contains patient race (albeit missing for many patients), which would allow a more direct assessment of racial/ethnic disparities in treatment.</w:t>
      </w:r>
    </w:p>
    <w:p w14:paraId="6F94E426" w14:textId="77777777" w:rsidR="003B77E7" w:rsidRPr="00F20E27" w:rsidRDefault="003B77E7" w:rsidP="00E05127">
      <w:pPr>
        <w:pStyle w:val="ListParagraph"/>
        <w:numPr>
          <w:ilvl w:val="0"/>
          <w:numId w:val="11"/>
        </w:numPr>
      </w:pPr>
      <w:r>
        <w:t xml:space="preserve">Interviews with waivered prescribers would be helpful to understand how and to what extent shared-patient ties increase prescriber access to peer information, resources, and support for providing MOUD treatment, as is true in other </w:t>
      </w:r>
      <w:r w:rsidR="00E37518">
        <w:t xml:space="preserve">healthcare </w:t>
      </w:r>
      <w:r>
        <w:t xml:space="preserve">settings. Do these ties operate differently </w:t>
      </w:r>
      <w:r>
        <w:lastRenderedPageBreak/>
        <w:t xml:space="preserve">for different medical specialties? Does their utility change over time? How do these ties come into being, especially between prescribers not in the same practice? </w:t>
      </w:r>
    </w:p>
    <w:p w14:paraId="3E0176B9" w14:textId="77777777" w:rsidR="003B77E7" w:rsidRDefault="003B77E7" w:rsidP="008C2357">
      <w:pPr>
        <w:tabs>
          <w:tab w:val="left" w:pos="900"/>
        </w:tabs>
        <w:spacing w:before="120"/>
        <w:ind w:left="720" w:hanging="720"/>
      </w:pPr>
    </w:p>
    <w:sectPr w:rsidR="003B77E7" w:rsidSect="003B77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DF9D" w14:textId="77777777" w:rsidR="004C70CE" w:rsidRDefault="004C70CE" w:rsidP="00405D59">
      <w:pPr>
        <w:spacing w:after="0" w:line="240" w:lineRule="auto"/>
      </w:pPr>
      <w:r>
        <w:separator/>
      </w:r>
    </w:p>
  </w:endnote>
  <w:endnote w:type="continuationSeparator" w:id="0">
    <w:p w14:paraId="17F24013" w14:textId="77777777" w:rsidR="004C70CE" w:rsidRDefault="004C70CE" w:rsidP="0040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426655"/>
      <w:docPartObj>
        <w:docPartGallery w:val="Page Numbers (Bottom of Page)"/>
        <w:docPartUnique/>
      </w:docPartObj>
    </w:sdtPr>
    <w:sdtEndPr/>
    <w:sdtContent>
      <w:p w14:paraId="243CDF94" w14:textId="77777777" w:rsidR="00B30B86" w:rsidRDefault="00B30B86">
        <w:pPr>
          <w:pStyle w:val="Footer"/>
          <w:jc w:val="right"/>
        </w:pPr>
        <w:r>
          <w:t xml:space="preserve">Page | </w:t>
        </w:r>
        <w:r>
          <w:fldChar w:fldCharType="begin"/>
        </w:r>
        <w:r>
          <w:instrText xml:space="preserve"> PAGE   \* MERGEFORMAT </w:instrText>
        </w:r>
        <w:r>
          <w:fldChar w:fldCharType="separate"/>
        </w:r>
        <w:r w:rsidR="00851F44">
          <w:rPr>
            <w:noProof/>
          </w:rPr>
          <w:t>9</w:t>
        </w:r>
        <w:r>
          <w:rPr>
            <w:noProof/>
          </w:rPr>
          <w:fldChar w:fldCharType="end"/>
        </w:r>
        <w:r>
          <w:t xml:space="preserve"> </w:t>
        </w:r>
      </w:p>
    </w:sdtContent>
  </w:sdt>
  <w:p w14:paraId="4E59EB5C" w14:textId="77777777" w:rsidR="00B30B86" w:rsidRDefault="00B30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048A" w14:textId="77777777" w:rsidR="004C70CE" w:rsidRDefault="004C70CE" w:rsidP="00405D59">
      <w:pPr>
        <w:spacing w:after="0" w:line="240" w:lineRule="auto"/>
      </w:pPr>
      <w:r>
        <w:separator/>
      </w:r>
    </w:p>
  </w:footnote>
  <w:footnote w:type="continuationSeparator" w:id="0">
    <w:p w14:paraId="3C258822" w14:textId="77777777" w:rsidR="004C70CE" w:rsidRDefault="004C70CE" w:rsidP="00405D59">
      <w:pPr>
        <w:spacing w:after="0" w:line="240" w:lineRule="auto"/>
      </w:pPr>
      <w:r>
        <w:continuationSeparator/>
      </w:r>
    </w:p>
  </w:footnote>
  <w:footnote w:id="1">
    <w:p w14:paraId="58AAE413" w14:textId="77777777" w:rsidR="00B30B86" w:rsidRDefault="00B30B86" w:rsidP="00040E65">
      <w:pPr>
        <w:pStyle w:val="FootnoteText"/>
      </w:pPr>
      <w:r>
        <w:rPr>
          <w:rStyle w:val="FootnoteReference"/>
        </w:rPr>
        <w:footnoteRef/>
      </w:r>
      <w:r>
        <w:t xml:space="preserve"> In one or more counties in most years, there were too few adoptions to allow for a hierarchical model, which would have permitted us to examine racial/ethnic disparities in waiver adoption.</w:t>
      </w:r>
    </w:p>
  </w:footnote>
  <w:footnote w:id="2">
    <w:p w14:paraId="2EFC835F" w14:textId="77777777" w:rsidR="00B30B86" w:rsidRDefault="00B30B86" w:rsidP="00040E65">
      <w:pPr>
        <w:pStyle w:val="FootnoteText"/>
      </w:pPr>
      <w:r>
        <w:rPr>
          <w:rStyle w:val="FootnoteReference"/>
        </w:rPr>
        <w:footnoteRef/>
      </w:r>
      <w:r>
        <w:t xml:space="preserve"> Medical specialty, including nurse practitioner/physician assistant beginning in 2018, was not a significant predictor.</w:t>
      </w:r>
    </w:p>
  </w:footnote>
  <w:footnote w:id="3">
    <w:p w14:paraId="28489E84" w14:textId="77777777" w:rsidR="00B30B86" w:rsidRDefault="00B30B86" w:rsidP="00040E65">
      <w:pPr>
        <w:pStyle w:val="FootnoteText"/>
      </w:pPr>
      <w:r>
        <w:rPr>
          <w:rStyle w:val="FootnoteReference"/>
        </w:rPr>
        <w:footnoteRef/>
      </w:r>
      <w:r>
        <w:t xml:space="preserve"> Because the models tested for the effects of prescribers waivered for 100 or 275 patients, who had relatively high numbers of shared-patient ties, this finding appears to relate to prescribers waivered for 30 patients.</w:t>
      </w:r>
    </w:p>
  </w:footnote>
  <w:footnote w:id="4">
    <w:p w14:paraId="04F600FA" w14:textId="77777777" w:rsidR="00B30B86" w:rsidRDefault="00B30B86" w:rsidP="00040E65">
      <w:pPr>
        <w:pStyle w:val="FootnoteText"/>
      </w:pPr>
      <w:r>
        <w:rPr>
          <w:rStyle w:val="FootnoteReference"/>
        </w:rPr>
        <w:footnoteRef/>
      </w:r>
      <w:r>
        <w:t xml:space="preserve"> It is also true that the median number of MOUD patients increased substantially with waivers for the higher patient limits, and having more patients would increase the likelihood of having more shared-patient ties. However, median number of patients and number of shared-patient ties were only modestly correlated (correlation coefficient of about .3).</w:t>
      </w:r>
    </w:p>
  </w:footnote>
  <w:footnote w:id="5">
    <w:p w14:paraId="6C90342F" w14:textId="77777777" w:rsidR="00B30B86" w:rsidRDefault="00B30B86" w:rsidP="00040E65">
      <w:pPr>
        <w:pStyle w:val="FootnoteText"/>
      </w:pPr>
      <w:r>
        <w:rPr>
          <w:rStyle w:val="FootnoteReference"/>
        </w:rPr>
        <w:footnoteRef/>
      </w:r>
      <w:r>
        <w:t xml:space="preserve"> The presence of hubs also facilitates the other two network properties we measured – the percent of network prescribers in the largest connected component and network centrality.</w:t>
      </w:r>
    </w:p>
  </w:footnote>
  <w:footnote w:id="6">
    <w:p w14:paraId="732EE635" w14:textId="77777777" w:rsidR="00B30B86" w:rsidRDefault="00B30B86">
      <w:pPr>
        <w:pStyle w:val="FootnoteText"/>
      </w:pPr>
      <w:r>
        <w:rPr>
          <w:rStyle w:val="FootnoteReference"/>
        </w:rPr>
        <w:footnoteRef/>
      </w:r>
      <w:r>
        <w:t xml:space="preserve"> Jalal H, </w:t>
      </w:r>
      <w:r>
        <w:t>Buchanich JM, Roberts MS, Balmert LC, Zhang K</w:t>
      </w:r>
      <w:r>
        <w:t xml:space="preserve">,&amp; Burke DS. (2018). Changing dynamics of the drug overdose epidemic in the United States from 1979 through 2016. </w:t>
      </w:r>
      <w:r w:rsidRPr="002F01A9">
        <w:rPr>
          <w:i/>
        </w:rPr>
        <w:t>Science; 361(6408)</w:t>
      </w:r>
      <w:r>
        <w:t>: eaau1184. Doi: 10.1126/science.aau1184.</w:t>
      </w:r>
    </w:p>
  </w:footnote>
  <w:footnote w:id="7">
    <w:p w14:paraId="69427843" w14:textId="77777777" w:rsidR="00B30B86" w:rsidRDefault="00B30B86" w:rsidP="00ED3D11">
      <w:pPr>
        <w:spacing w:after="0" w:line="240" w:lineRule="auto"/>
      </w:pPr>
      <w:r>
        <w:rPr>
          <w:rStyle w:val="FootnoteReference"/>
        </w:rPr>
        <w:footnoteRef/>
      </w:r>
      <w:r>
        <w:t xml:space="preserve"> </w:t>
      </w:r>
      <w:r w:rsidRPr="008E7880">
        <w:rPr>
          <w:sz w:val="20"/>
          <w:szCs w:val="20"/>
        </w:rPr>
        <w:t xml:space="preserve">Kolodny A., Courtwright DT, Hwang CS, Kreiner P, Eadie JL, Clark TW, </w:t>
      </w:r>
      <w:r>
        <w:rPr>
          <w:sz w:val="20"/>
          <w:szCs w:val="20"/>
        </w:rPr>
        <w:t>&amp;</w:t>
      </w:r>
      <w:r w:rsidRPr="008E7880">
        <w:rPr>
          <w:sz w:val="20"/>
          <w:szCs w:val="20"/>
        </w:rPr>
        <w:t xml:space="preserve"> Alexander GC</w:t>
      </w:r>
      <w:r>
        <w:rPr>
          <w:sz w:val="20"/>
          <w:szCs w:val="20"/>
        </w:rPr>
        <w:t>.</w:t>
      </w:r>
      <w:r w:rsidRPr="008E7880">
        <w:rPr>
          <w:sz w:val="20"/>
          <w:szCs w:val="20"/>
        </w:rPr>
        <w:t xml:space="preserve"> (2015). </w:t>
      </w:r>
      <w:r w:rsidRPr="008E7880">
        <w:rPr>
          <w:sz w:val="20"/>
          <w:szCs w:val="20"/>
        </w:rPr>
        <w:t xml:space="preserve">The prescription opioid and heroin crisis: A public health approach to an epidemic of addiction. </w:t>
      </w:r>
      <w:r w:rsidRPr="008E7880">
        <w:rPr>
          <w:i/>
          <w:sz w:val="20"/>
          <w:szCs w:val="20"/>
        </w:rPr>
        <w:t>Annual Review of Public Health, 36: 559-574, doi: 10.1146/annurev-pubhealth-031914-12295</w:t>
      </w:r>
      <w:r w:rsidRPr="008E7880">
        <w:rPr>
          <w:i/>
        </w:rPr>
        <w:t>7</w:t>
      </w:r>
      <w:r w:rsidRPr="008E7880">
        <w:t>.</w:t>
      </w:r>
    </w:p>
  </w:footnote>
  <w:footnote w:id="8">
    <w:p w14:paraId="360C89AB" w14:textId="77777777" w:rsidR="00B30B86" w:rsidRDefault="00B30B86">
      <w:pPr>
        <w:pStyle w:val="FootnoteText"/>
      </w:pPr>
      <w:r>
        <w:rPr>
          <w:rStyle w:val="FootnoteReference"/>
        </w:rPr>
        <w:footnoteRef/>
      </w:r>
      <w:r>
        <w:t xml:space="preserve"> </w:t>
      </w:r>
      <w:r>
        <w:t xml:space="preserve">Ballreich J, Mansour O, Hu E, Chingcuanco F, Pollack HA, Dowdy DW, &amp; Alexander GC. (2020). Modeling mitigation strategies to reduce opioid-related morbidity and mortality in the US. </w:t>
      </w:r>
      <w:r w:rsidRPr="00F955EC">
        <w:rPr>
          <w:i/>
        </w:rPr>
        <w:t>JAMA Open Network; 3(11):</w:t>
      </w:r>
      <w:r>
        <w:t xml:space="preserve"> e2023677. Doi:10.1001/jamanetworkopen.2020.23677.</w:t>
      </w:r>
    </w:p>
  </w:footnote>
  <w:footnote w:id="9">
    <w:p w14:paraId="1A0A2B1B" w14:textId="77777777" w:rsidR="00B30B86" w:rsidRDefault="00B30B86">
      <w:pPr>
        <w:pStyle w:val="FootnoteText"/>
      </w:pPr>
      <w:r>
        <w:rPr>
          <w:rStyle w:val="FootnoteReference"/>
        </w:rPr>
        <w:footnoteRef/>
      </w:r>
      <w:r>
        <w:t xml:space="preserve"> </w:t>
      </w:r>
      <w:r w:rsidRPr="008E7880">
        <w:t xml:space="preserve">Dick AW, </w:t>
      </w:r>
      <w:r w:rsidRPr="008E7880">
        <w:t xml:space="preserve">Pacula RL, Gordon AJ, Sorbero M, Burns RM, Leslie D, &amp; Stein BD. (2015). Growth in buprenorphine waivers for physicians increased potential access to opioid agonist treatment, 2002-11. </w:t>
      </w:r>
      <w:r w:rsidRPr="008E7880">
        <w:rPr>
          <w:i/>
        </w:rPr>
        <w:t>Health Affairs</w:t>
      </w:r>
      <w:r w:rsidRPr="008E7880">
        <w:t>; 34(6): 1028-1034. Doi: 10.1377/nlthaff.2014.1205.</w:t>
      </w:r>
    </w:p>
  </w:footnote>
  <w:footnote w:id="10">
    <w:p w14:paraId="13247750" w14:textId="77777777" w:rsidR="00B30B86" w:rsidRDefault="00B30B86">
      <w:pPr>
        <w:pStyle w:val="FootnoteText"/>
      </w:pPr>
      <w:r>
        <w:rPr>
          <w:rStyle w:val="FootnoteReference"/>
        </w:rPr>
        <w:footnoteRef/>
      </w:r>
      <w:r>
        <w:t xml:space="preserve"> </w:t>
      </w:r>
      <w:r w:rsidRPr="002A750B">
        <w:t xml:space="preserve">Ghertner, R. (2019). U.S. trends in the supply of providers with a waiver to prescribe buprenorphine for opioid use disorder in 2016 and 2018. </w:t>
      </w:r>
      <w:r w:rsidRPr="002A750B">
        <w:rPr>
          <w:i/>
        </w:rPr>
        <w:t>Drug and Alcohol Dependence</w:t>
      </w:r>
      <w:r w:rsidRPr="002A750B">
        <w:t>; 204</w:t>
      </w:r>
      <w:r w:rsidRPr="002A750B">
        <w:t xml:space="preserve">; . doi.org/10.1016/j.drugalcdep.2019.06.029. </w:t>
      </w:r>
    </w:p>
  </w:footnote>
  <w:footnote w:id="11">
    <w:p w14:paraId="7901FCFE" w14:textId="77777777" w:rsidR="00B30B86" w:rsidRDefault="00B30B86">
      <w:pPr>
        <w:pStyle w:val="FootnoteText"/>
      </w:pPr>
      <w:r>
        <w:rPr>
          <w:rStyle w:val="FootnoteReference"/>
        </w:rPr>
        <w:footnoteRef/>
      </w:r>
      <w:r>
        <w:t xml:space="preserve"> </w:t>
      </w:r>
      <w:r w:rsidRPr="002A750B">
        <w:t xml:space="preserve">McBain RK, Dick AW, Sorbero M, &amp; Stein BD. (2020). Growth and distribution of buprenorphine-waivered providers in the United States, 2007-2017. </w:t>
      </w:r>
      <w:r w:rsidRPr="002A750B">
        <w:rPr>
          <w:i/>
        </w:rPr>
        <w:t>Annals of Internal Medicine</w:t>
      </w:r>
      <w:r w:rsidRPr="002A750B">
        <w:t>; 172(7): 504-506.</w:t>
      </w:r>
    </w:p>
  </w:footnote>
  <w:footnote w:id="12">
    <w:p w14:paraId="5C53A0AC" w14:textId="77777777" w:rsidR="00B30B86" w:rsidRDefault="00B30B86">
      <w:pPr>
        <w:pStyle w:val="FootnoteText"/>
      </w:pPr>
      <w:r>
        <w:rPr>
          <w:rStyle w:val="FootnoteReference"/>
        </w:rPr>
        <w:footnoteRef/>
      </w:r>
      <w:r>
        <w:t xml:space="preserve"> </w:t>
      </w:r>
      <w:r w:rsidRPr="002A750B">
        <w:t xml:space="preserve">Arfken CL, Johanson C-E, di Menza S, &amp; Schuster CR. (2010). Expanding treatment capacity for opioid dependence with office-based treatment with buprenorphine: National surveys of physicians. </w:t>
      </w:r>
      <w:r w:rsidRPr="002A750B">
        <w:rPr>
          <w:i/>
        </w:rPr>
        <w:t>Journal of Substance Abuse Treatment</w:t>
      </w:r>
      <w:r w:rsidRPr="002A750B">
        <w:t>; 39: 96-104. Doi: 10.1016/j.jsat.2010.05.004.</w:t>
      </w:r>
    </w:p>
  </w:footnote>
  <w:footnote w:id="13">
    <w:p w14:paraId="0F47BED4" w14:textId="77777777" w:rsidR="00B30B86" w:rsidRDefault="00B30B86">
      <w:pPr>
        <w:pStyle w:val="FootnoteText"/>
      </w:pPr>
      <w:r>
        <w:rPr>
          <w:rStyle w:val="FootnoteReference"/>
        </w:rPr>
        <w:footnoteRef/>
      </w:r>
      <w:r>
        <w:t xml:space="preserve"> </w:t>
      </w:r>
      <w:r w:rsidRPr="00072880">
        <w:t xml:space="preserve">Stein BD, </w:t>
      </w:r>
      <w:r w:rsidRPr="00072880">
        <w:t xml:space="preserve">Sorbero M, Dick AW, Pacula RL, Burns RM, &amp; Gordon AJ. </w:t>
      </w:r>
      <w:r w:rsidRPr="00072880">
        <w:t xml:space="preserve">(2016). Physician capacity to treat opioid use disorder with buprenorphine-assisted treatment. </w:t>
      </w:r>
      <w:r w:rsidRPr="00072880">
        <w:rPr>
          <w:i/>
        </w:rPr>
        <w:t>JAMA</w:t>
      </w:r>
      <w:r w:rsidRPr="00072880">
        <w:t>; 316(11): 1211-1212.</w:t>
      </w:r>
    </w:p>
  </w:footnote>
  <w:footnote w:id="14">
    <w:p w14:paraId="4E708469" w14:textId="77777777" w:rsidR="00B30B86" w:rsidRDefault="00B30B86">
      <w:pPr>
        <w:pStyle w:val="FootnoteText"/>
      </w:pPr>
      <w:r>
        <w:rPr>
          <w:rStyle w:val="FootnoteReference"/>
        </w:rPr>
        <w:footnoteRef/>
      </w:r>
      <w:r>
        <w:t xml:space="preserve"> </w:t>
      </w:r>
      <w:r w:rsidRPr="00072880">
        <w:t xml:space="preserve">Thomas CP, Doyle E, </w:t>
      </w:r>
      <w:r w:rsidRPr="00072880">
        <w:t xml:space="preserve">Kreine, P, Jones CM, Dubenitz J, Horan A, </w:t>
      </w:r>
      <w:r>
        <w:t>&amp;</w:t>
      </w:r>
      <w:r w:rsidRPr="00072880">
        <w:t xml:space="preserve"> Stein BD. (2017). </w:t>
      </w:r>
      <w:r w:rsidRPr="00072880">
        <w:t xml:space="preserve">Prescribing patterns of buprenorphine waivered physicians. </w:t>
      </w:r>
      <w:r w:rsidRPr="00072880">
        <w:rPr>
          <w:i/>
        </w:rPr>
        <w:t xml:space="preserve">Drug and Alcohol Dependence; 181: </w:t>
      </w:r>
      <w:r w:rsidRPr="00072880">
        <w:t>213-218. dx.doi.org/10.1016/j.drugalcdep.2017.10.002.</w:t>
      </w:r>
    </w:p>
  </w:footnote>
  <w:footnote w:id="15">
    <w:p w14:paraId="4D948F3A" w14:textId="77777777" w:rsidR="00B30B86" w:rsidRDefault="00B30B86">
      <w:pPr>
        <w:pStyle w:val="FootnoteText"/>
      </w:pPr>
      <w:r>
        <w:rPr>
          <w:rStyle w:val="FootnoteReference"/>
        </w:rPr>
        <w:footnoteRef/>
      </w:r>
      <w:r>
        <w:t xml:space="preserve"> </w:t>
      </w:r>
      <w:r>
        <w:t xml:space="preserve">Hansen H, Siegel C, </w:t>
      </w:r>
      <w:r>
        <w:t xml:space="preserve">Wanderling J, &amp; DiRocco D. (2016). Buprenorphine and methadone treatment for opioid dependence by income, ethnicity, and race of neighborhoods in New York City. </w:t>
      </w:r>
      <w:r w:rsidRPr="00FE16D9">
        <w:rPr>
          <w:i/>
        </w:rPr>
        <w:t>Drug and Alcohol Dependence; 164</w:t>
      </w:r>
      <w:r>
        <w:t>: 14-21. Doi:10.1016/j.drugalcdep.2016.03.028.</w:t>
      </w:r>
    </w:p>
  </w:footnote>
  <w:footnote w:id="16">
    <w:p w14:paraId="5747912A" w14:textId="77777777" w:rsidR="00B30B86" w:rsidRDefault="00B30B86">
      <w:pPr>
        <w:pStyle w:val="FootnoteText"/>
      </w:pPr>
      <w:r>
        <w:rPr>
          <w:rStyle w:val="FootnoteReference"/>
        </w:rPr>
        <w:footnoteRef/>
      </w:r>
      <w:r>
        <w:t xml:space="preserve"> </w:t>
      </w:r>
      <w:r>
        <w:t xml:space="preserve">Lagisetty PA, Ross R, Bohnert A, Clay M, &amp; Maust DT. (2019). Buprenorphine treatment divide by race/ethnicity and payment. </w:t>
      </w:r>
      <w:r w:rsidRPr="00FE16D9">
        <w:rPr>
          <w:i/>
        </w:rPr>
        <w:t>JAMA Psychiatry; 76(9):</w:t>
      </w:r>
      <w:r>
        <w:t xml:space="preserve"> 979-981.</w:t>
      </w:r>
    </w:p>
  </w:footnote>
  <w:footnote w:id="17">
    <w:p w14:paraId="6F98E414" w14:textId="77777777" w:rsidR="00B30B86" w:rsidRDefault="00B30B86">
      <w:pPr>
        <w:pStyle w:val="FootnoteText"/>
      </w:pPr>
      <w:r>
        <w:rPr>
          <w:rStyle w:val="FootnoteReference"/>
        </w:rPr>
        <w:footnoteRef/>
      </w:r>
      <w:r>
        <w:t xml:space="preserve"> Hollingsworth JM, Funk RJ, Garrison SA, Owen-Smith J, Kaufman SR, Landon BE, &amp; </w:t>
      </w:r>
      <w:r>
        <w:t xml:space="preserve">Birkmeyer JD. </w:t>
      </w:r>
      <w:r>
        <w:t xml:space="preserve">(2015). Differences between physician social networks for cardiac surgery serving communities with high versus low proportions of black residents. </w:t>
      </w:r>
      <w:r w:rsidRPr="00ED3D11">
        <w:rPr>
          <w:i/>
        </w:rPr>
        <w:t>Medical Care; 53(2):</w:t>
      </w:r>
      <w:r>
        <w:t xml:space="preserve"> 160-167.</w:t>
      </w:r>
    </w:p>
  </w:footnote>
  <w:footnote w:id="18">
    <w:p w14:paraId="5772BBB7" w14:textId="77777777" w:rsidR="00B30B86" w:rsidRDefault="00B30B86">
      <w:pPr>
        <w:pStyle w:val="FootnoteText"/>
      </w:pPr>
      <w:r>
        <w:rPr>
          <w:rStyle w:val="FootnoteReference"/>
        </w:rPr>
        <w:footnoteRef/>
      </w:r>
      <w:r>
        <w:t xml:space="preserve"> </w:t>
      </w:r>
      <w:r>
        <w:t xml:space="preserve">Ghomrawi HMK, Funk RJ, Parks ML, Owen-Smith O &amp; Hollingsworth JM. (2018). Physician referral patterns and racial disparities in total hip replacement: A network analysis approach. </w:t>
      </w:r>
      <w:r w:rsidRPr="00ED3D11">
        <w:rPr>
          <w:i/>
        </w:rPr>
        <w:t>PLoS ONE; 13(2):</w:t>
      </w:r>
      <w:r>
        <w:t xml:space="preserve"> e0193014. Doi.org/10.1371/journal.pone.0193014.</w:t>
      </w:r>
    </w:p>
  </w:footnote>
  <w:footnote w:id="19">
    <w:p w14:paraId="67983D69" w14:textId="77777777" w:rsidR="00B30B86" w:rsidRDefault="00B30B86">
      <w:pPr>
        <w:pStyle w:val="FootnoteText"/>
      </w:pPr>
      <w:r>
        <w:rPr>
          <w:rStyle w:val="FootnoteReference"/>
        </w:rPr>
        <w:footnoteRef/>
      </w:r>
      <w:r>
        <w:t xml:space="preserve"> Medication Assisted Treatment Commission Report, October 1, 2019. Available at: </w:t>
      </w:r>
      <w:hyperlink r:id="rId1" w:history="1">
        <w:r w:rsidRPr="007F4504">
          <w:rPr>
            <w:rStyle w:val="Hyperlink"/>
          </w:rPr>
          <w:t>https://www.mass.gov/lists/medication-assisted-treatment-mat-commission-documents</w:t>
        </w:r>
      </w:hyperlink>
      <w:r>
        <w:t xml:space="preserve">. </w:t>
      </w:r>
      <w:r>
        <w:t>Accessed November 15, 2020.</w:t>
      </w:r>
    </w:p>
  </w:footnote>
  <w:footnote w:id="20">
    <w:p w14:paraId="5678CE7E" w14:textId="77777777" w:rsidR="00B30B86" w:rsidRDefault="00B30B86">
      <w:pPr>
        <w:pStyle w:val="FootnoteText"/>
      </w:pPr>
      <w:r>
        <w:rPr>
          <w:rStyle w:val="FootnoteReference"/>
        </w:rPr>
        <w:footnoteRef/>
      </w:r>
      <w:r>
        <w:t xml:space="preserve"> </w:t>
      </w:r>
      <w:r w:rsidRPr="00104BE9">
        <w:t xml:space="preserve">Barnett ML, Landon BE, O’Malley AJ, Keating NL, &amp; Christakis NA. (2011). Mapping physician networks with self-reported and administrative data. </w:t>
      </w:r>
      <w:r w:rsidRPr="00104BE9">
        <w:rPr>
          <w:i/>
        </w:rPr>
        <w:t>Health Services Research</w:t>
      </w:r>
      <w:r w:rsidRPr="00104BE9">
        <w:t>; 46: 1592-1609.</w:t>
      </w:r>
    </w:p>
  </w:footnote>
  <w:footnote w:id="21">
    <w:p w14:paraId="7396A072" w14:textId="77777777" w:rsidR="00B30B86" w:rsidRDefault="00B30B86">
      <w:pPr>
        <w:pStyle w:val="FootnoteText"/>
      </w:pPr>
      <w:r>
        <w:rPr>
          <w:rStyle w:val="FootnoteReference"/>
        </w:rPr>
        <w:footnoteRef/>
      </w:r>
      <w:r>
        <w:t xml:space="preserve"> </w:t>
      </w:r>
      <w:r w:rsidRPr="00104BE9">
        <w:t xml:space="preserve">Landon </w:t>
      </w:r>
      <w:r w:rsidRPr="00104BE9">
        <w:t xml:space="preserve">BE, Keating NL, Barnett ML, </w:t>
      </w:r>
      <w:r w:rsidRPr="00104BE9">
        <w:t xml:space="preserve">Onnela J-P, Paul S, O’Malley AJ, Keegan T, &amp; Christakis NA. (2012). Variation in patient-sharing networks of physicians across the United States. </w:t>
      </w:r>
      <w:r w:rsidRPr="00104BE9">
        <w:rPr>
          <w:i/>
        </w:rPr>
        <w:t>JAMA</w:t>
      </w:r>
      <w:r w:rsidRPr="00104BE9">
        <w:t>; 308(3): 265-273.</w:t>
      </w:r>
    </w:p>
  </w:footnote>
  <w:footnote w:id="22">
    <w:p w14:paraId="74962C19" w14:textId="77777777" w:rsidR="00B30B86" w:rsidRDefault="00B30B86">
      <w:pPr>
        <w:pStyle w:val="FootnoteText"/>
      </w:pPr>
      <w:r>
        <w:rPr>
          <w:rStyle w:val="FootnoteReference"/>
        </w:rPr>
        <w:footnoteRef/>
      </w:r>
      <w:r>
        <w:t xml:space="preserve"> </w:t>
      </w:r>
      <w:r w:rsidRPr="00104BE9">
        <w:t xml:space="preserve">Trogdon JG, Weir WH, Shai S, Mucha PJ, Kuo TM, Meyer AM, &amp; Stitzenber KB. (2019). Comparing shared patient networks across payers. </w:t>
      </w:r>
      <w:r w:rsidRPr="00104BE9">
        <w:t xml:space="preserve">Journal of General Internal Medicine; published online April 3, 2019. </w:t>
      </w:r>
      <w:hyperlink r:id="rId2" w:history="1">
        <w:r w:rsidRPr="00104BE9">
          <w:rPr>
            <w:rStyle w:val="Hyperlink"/>
          </w:rPr>
          <w:t>https://doi.org/10.1007/s11606-019-04978-9</w:t>
        </w:r>
      </w:hyperlink>
      <w:r w:rsidRPr="00104BE9">
        <w:t xml:space="preserve">. </w:t>
      </w:r>
    </w:p>
  </w:footnote>
  <w:footnote w:id="23">
    <w:p w14:paraId="4026B07F" w14:textId="77777777" w:rsidR="00B30B86" w:rsidRDefault="00B30B86">
      <w:pPr>
        <w:pStyle w:val="FootnoteText"/>
      </w:pPr>
      <w:r>
        <w:rPr>
          <w:rStyle w:val="FootnoteReference"/>
        </w:rPr>
        <w:footnoteRef/>
      </w:r>
      <w:r>
        <w:t xml:space="preserve"> </w:t>
      </w:r>
      <w:r w:rsidRPr="00104BE9">
        <w:t xml:space="preserve">Stein BD, </w:t>
      </w:r>
      <w:r>
        <w:t xml:space="preserve">Mendelsohn J, Gordon AJ, Dick AW, Burns RM, </w:t>
      </w:r>
      <w:r>
        <w:t xml:space="preserve">Sorbero M, Shih RA &amp; Pacula RL. (2017). Opioid analgesic and benzodiazepine prescribing among Medicaid-enrollees with opioid use disorders: The influence of provider communities. </w:t>
      </w:r>
      <w:r w:rsidRPr="00104BE9">
        <w:rPr>
          <w:i/>
        </w:rPr>
        <w:t>Journal of Addictive Diseases; 36(1):</w:t>
      </w:r>
      <w:r>
        <w:t xml:space="preserve"> 14-22. Doi: 10.1080/10550887.2016.1211784.</w:t>
      </w:r>
    </w:p>
  </w:footnote>
  <w:footnote w:id="24">
    <w:p w14:paraId="274DC3E4" w14:textId="77777777" w:rsidR="00B30B86" w:rsidRDefault="00B30B86">
      <w:pPr>
        <w:pStyle w:val="FootnoteText"/>
      </w:pPr>
      <w:r>
        <w:rPr>
          <w:rStyle w:val="FootnoteReference"/>
        </w:rPr>
        <w:footnoteRef/>
      </w:r>
      <w:r>
        <w:t xml:space="preserve"> </w:t>
      </w:r>
      <w:r w:rsidRPr="00104BE9">
        <w:t xml:space="preserve">Pollack CE, </w:t>
      </w:r>
      <w:r w:rsidRPr="00104BE9">
        <w:t xml:space="preserve">Weissman G, Bekelman J, Liao K, &amp; Armstrong K. (2012). Physician social networks and variation in prostate cancer treatment in three cities. </w:t>
      </w:r>
      <w:r w:rsidRPr="00104BE9">
        <w:rPr>
          <w:i/>
        </w:rPr>
        <w:t>Health Services Research</w:t>
      </w:r>
      <w:r w:rsidRPr="00104BE9">
        <w:t>; 47(1), Part II: 380-403. Doi: 10.1111/j.1475-6773.2011.01331.x.</w:t>
      </w:r>
    </w:p>
  </w:footnote>
  <w:footnote w:id="25">
    <w:p w14:paraId="6D60CDCE" w14:textId="77777777" w:rsidR="00B30B86" w:rsidRDefault="00B30B86">
      <w:pPr>
        <w:pStyle w:val="FootnoteText"/>
      </w:pPr>
      <w:r>
        <w:rPr>
          <w:rStyle w:val="FootnoteReference"/>
        </w:rPr>
        <w:footnoteRef/>
      </w:r>
      <w:r>
        <w:t xml:space="preserve"> </w:t>
      </w:r>
      <w:r w:rsidRPr="00104BE9">
        <w:t xml:space="preserve">Barnett ML, Christakis NA, O’Malley J, </w:t>
      </w:r>
      <w:r w:rsidRPr="00104BE9">
        <w:t xml:space="preserve">Onnela J-P, Keating NL, &amp; Landon </w:t>
      </w:r>
      <w:r w:rsidRPr="00104BE9">
        <w:t xml:space="preserve">BE. (2012). Physician patient-sharing networks and the cost and intensity of care in US hospitals. </w:t>
      </w:r>
      <w:r w:rsidRPr="00104BE9">
        <w:rPr>
          <w:i/>
        </w:rPr>
        <w:t>Medical Care</w:t>
      </w:r>
      <w:r w:rsidRPr="00104BE9">
        <w:t>; 50(2): 152-160.</w:t>
      </w:r>
    </w:p>
  </w:footnote>
  <w:footnote w:id="26">
    <w:p w14:paraId="35C438B8" w14:textId="77777777" w:rsidR="00B30B86" w:rsidRDefault="00B30B86">
      <w:pPr>
        <w:pStyle w:val="FootnoteText"/>
      </w:pPr>
      <w:r>
        <w:rPr>
          <w:rStyle w:val="FootnoteReference"/>
        </w:rPr>
        <w:footnoteRef/>
      </w:r>
      <w:r>
        <w:t xml:space="preserve"> </w:t>
      </w:r>
      <w:r w:rsidRPr="00104BE9">
        <w:t xml:space="preserve">Uddin S, Hossain L, &amp; </w:t>
      </w:r>
      <w:r w:rsidRPr="00104BE9">
        <w:t xml:space="preserve">Kelaher M. (2011). Effect of physician collaboration network on hospitalization cost and readmission rate. </w:t>
      </w:r>
      <w:r w:rsidRPr="00104BE9">
        <w:rPr>
          <w:i/>
        </w:rPr>
        <w:t>European Journal of Public Health</w:t>
      </w:r>
      <w:r w:rsidRPr="00104BE9">
        <w:t>; 22(5): 629-633. Doi: 10.1093/eurpub/ckr153.</w:t>
      </w:r>
    </w:p>
  </w:footnote>
  <w:footnote w:id="27">
    <w:p w14:paraId="43C0BF70" w14:textId="77777777" w:rsidR="00B30B86" w:rsidRDefault="00B30B86">
      <w:pPr>
        <w:pStyle w:val="FootnoteText"/>
      </w:pPr>
      <w:r>
        <w:rPr>
          <w:rStyle w:val="FootnoteReference"/>
        </w:rPr>
        <w:footnoteRef/>
      </w:r>
      <w:r>
        <w:t xml:space="preserve"> </w:t>
      </w:r>
      <w:r w:rsidRPr="00104BE9">
        <w:t xml:space="preserve">Uddin S, Hossain L, </w:t>
      </w:r>
      <w:r w:rsidRPr="00104BE9">
        <w:t xml:space="preserve">Hamra J, &amp; Alam A. (2013). A study of physician collaborations through social network and exponential random graph. </w:t>
      </w:r>
      <w:r w:rsidRPr="00104BE9">
        <w:rPr>
          <w:i/>
        </w:rPr>
        <w:t>BMC Health Services Research</w:t>
      </w:r>
      <w:r w:rsidRPr="00104BE9">
        <w:t>; 13: 234. Doi: 10.1186/1472-6963-13-234.</w:t>
      </w:r>
    </w:p>
  </w:footnote>
  <w:footnote w:id="28">
    <w:p w14:paraId="547D084C" w14:textId="77777777" w:rsidR="00B30B86" w:rsidRDefault="00B30B86">
      <w:pPr>
        <w:pStyle w:val="FootnoteText"/>
      </w:pPr>
      <w:r>
        <w:rPr>
          <w:rStyle w:val="FootnoteReference"/>
        </w:rPr>
        <w:footnoteRef/>
      </w:r>
      <w:r>
        <w:t xml:space="preserve"> </w:t>
      </w:r>
      <w:r w:rsidRPr="00104BE9">
        <w:t xml:space="preserve">Casalino LP, Pesko MF, Ryan AM, Nyweide DJ, Iwashyna TJ, Sun X, Mendelsohn J, &amp; Moody, J. (2015). </w:t>
      </w:r>
      <w:r w:rsidRPr="00104BE9">
        <w:t xml:space="preserve">Physician networks and ambulatory care-sensitive admissions. </w:t>
      </w:r>
      <w:r w:rsidRPr="00104BE9">
        <w:rPr>
          <w:i/>
        </w:rPr>
        <w:t>Medical Care</w:t>
      </w:r>
      <w:r w:rsidRPr="00104BE9">
        <w:t>; 53(6): 534-541.</w:t>
      </w:r>
    </w:p>
  </w:footnote>
  <w:footnote w:id="29">
    <w:p w14:paraId="5BB438EE" w14:textId="77777777" w:rsidR="00B30B86" w:rsidRDefault="00B30B86">
      <w:pPr>
        <w:pStyle w:val="FootnoteText"/>
      </w:pPr>
      <w:r>
        <w:rPr>
          <w:rStyle w:val="FootnoteReference"/>
        </w:rPr>
        <w:footnoteRef/>
      </w:r>
      <w:r>
        <w:t xml:space="preserve"> </w:t>
      </w:r>
      <w:r w:rsidRPr="00104BE9">
        <w:t xml:space="preserve">Pollack CE, </w:t>
      </w:r>
      <w:r w:rsidRPr="00104BE9">
        <w:t xml:space="preserve">Weissman GE, Lemke KW, Hussey PS, &amp; Weiner JP. (2012). Patient sharing among physicians and costs of care: A network analytic approach to care coordination using claims data. </w:t>
      </w:r>
      <w:r w:rsidRPr="00104BE9">
        <w:rPr>
          <w:i/>
        </w:rPr>
        <w:t>Journal of General Internal Medicine</w:t>
      </w:r>
      <w:r w:rsidRPr="00104BE9">
        <w:t>; 28(3): 459-465. Doi: 10.1007/s11606-012-2104-7.</w:t>
      </w:r>
    </w:p>
  </w:footnote>
  <w:footnote w:id="30">
    <w:p w14:paraId="2BF8DCD3" w14:textId="77777777" w:rsidR="00B30B86" w:rsidRPr="004C525C" w:rsidRDefault="00B30B86" w:rsidP="004C525C">
      <w:pPr>
        <w:pStyle w:val="FootnoteText"/>
      </w:pPr>
      <w:r>
        <w:rPr>
          <w:rStyle w:val="FootnoteReference"/>
        </w:rPr>
        <w:footnoteRef/>
      </w:r>
      <w:r>
        <w:t xml:space="preserve"> </w:t>
      </w:r>
      <w:r w:rsidRPr="004C525C">
        <w:t xml:space="preserve">Ong M-S, Olson KL, </w:t>
      </w:r>
      <w:r w:rsidRPr="004C525C">
        <w:t xml:space="preserve">Carni A, Liu C, Tian F, Selvam N, &amp; Mandl KD. </w:t>
      </w:r>
      <w:r w:rsidRPr="004C525C">
        <w:t xml:space="preserve">(2015). Provider patient-sharing networks and multiple-provider prescribing of benzodiazepines. </w:t>
      </w:r>
      <w:r w:rsidRPr="004C525C">
        <w:rPr>
          <w:i/>
        </w:rPr>
        <w:t>Journal of General Internal Medicine</w:t>
      </w:r>
      <w:r w:rsidRPr="004C525C">
        <w:t>; 31(2): 164-171. Doi: 10.1007/s11606-015-3470-8.</w:t>
      </w:r>
    </w:p>
    <w:p w14:paraId="053C66BE" w14:textId="77777777" w:rsidR="00B30B86" w:rsidRDefault="00B30B86">
      <w:pPr>
        <w:pStyle w:val="FootnoteText"/>
      </w:pPr>
    </w:p>
  </w:footnote>
  <w:footnote w:id="31">
    <w:p w14:paraId="793E4390" w14:textId="77777777" w:rsidR="00B30B86" w:rsidRDefault="00B30B86">
      <w:pPr>
        <w:pStyle w:val="FootnoteText"/>
      </w:pPr>
      <w:r>
        <w:rPr>
          <w:rStyle w:val="FootnoteReference"/>
        </w:rPr>
        <w:footnoteRef/>
      </w:r>
      <w:r>
        <w:t xml:space="preserve"> </w:t>
      </w:r>
      <w:r w:rsidRPr="00C2540A">
        <w:t xml:space="preserve">Thomas, CP, Doyle, E, </w:t>
      </w:r>
      <w:r w:rsidRPr="00C2540A">
        <w:t xml:space="preserve">Kreiner, P, Jones, CM, Dubenitz, J, Horan, A, and Stein, BD. (2017). Prescribing patterns of buprenorphine waivered physicians. </w:t>
      </w:r>
      <w:r w:rsidRPr="00C2540A">
        <w:rPr>
          <w:i/>
        </w:rPr>
        <w:t xml:space="preserve">Drug and Alcohol Dependence; 181: </w:t>
      </w:r>
      <w:r w:rsidRPr="00C2540A">
        <w:t>213-218. dx.doi.org/10.1016/j.drugalcdep.2017.10.002.</w:t>
      </w:r>
    </w:p>
  </w:footnote>
  <w:footnote w:id="32">
    <w:p w14:paraId="64B2E286" w14:textId="77777777" w:rsidR="00B30B86" w:rsidRDefault="00B30B86">
      <w:pPr>
        <w:pStyle w:val="FootnoteText"/>
      </w:pPr>
      <w:r>
        <w:rPr>
          <w:rStyle w:val="FootnoteReference"/>
        </w:rPr>
        <w:footnoteRef/>
      </w:r>
      <w:r>
        <w:t xml:space="preserve"> </w:t>
      </w:r>
      <w:r>
        <w:t xml:space="preserve">Wasserman S &amp; Faust K. (1994). </w:t>
      </w:r>
      <w:r w:rsidRPr="00C85817">
        <w:rPr>
          <w:i/>
        </w:rPr>
        <w:t>Social Network Analysis: Methods and Applications</w:t>
      </w:r>
      <w:r>
        <w:t>. Cambridge, UK: Cambridge University Press. P. 109.</w:t>
      </w:r>
    </w:p>
  </w:footnote>
  <w:footnote w:id="33">
    <w:p w14:paraId="3DA90838" w14:textId="77777777" w:rsidR="00B30B86" w:rsidRDefault="00B30B86">
      <w:pPr>
        <w:pStyle w:val="FootnoteText"/>
      </w:pPr>
      <w:r>
        <w:rPr>
          <w:rStyle w:val="FootnoteReference"/>
        </w:rPr>
        <w:footnoteRef/>
      </w:r>
      <w:r>
        <w:t xml:space="preserve"> Neal ZP, (2017). How small is it? </w:t>
      </w:r>
      <w:r>
        <w:t xml:space="preserve">Comparing indices of small worldliness. </w:t>
      </w:r>
      <w:r w:rsidRPr="00C85817">
        <w:rPr>
          <w:i/>
        </w:rPr>
        <w:t>Network Science; 5(1):</w:t>
      </w:r>
      <w:r>
        <w:t xml:space="preserve"> 30-44.</w:t>
      </w:r>
    </w:p>
  </w:footnote>
  <w:footnote w:id="34">
    <w:p w14:paraId="18AD2882" w14:textId="77777777" w:rsidR="00B30B86" w:rsidRDefault="00B30B86">
      <w:pPr>
        <w:pStyle w:val="FootnoteText"/>
      </w:pPr>
      <w:r>
        <w:rPr>
          <w:rStyle w:val="FootnoteReference"/>
        </w:rPr>
        <w:footnoteRef/>
      </w:r>
      <w:r>
        <w:t xml:space="preserve"> </w:t>
      </w:r>
      <w:r>
        <w:t xml:space="preserve">Wasserman S &amp; Faust K. </w:t>
      </w:r>
      <w:r w:rsidRPr="00391D06">
        <w:rPr>
          <w:i/>
        </w:rPr>
        <w:t>Op.cit.</w:t>
      </w:r>
      <w:r>
        <w:t xml:space="preserve"> Pp. 175-177.</w:t>
      </w:r>
    </w:p>
  </w:footnote>
  <w:footnote w:id="35">
    <w:p w14:paraId="45F7C6BD" w14:textId="77777777" w:rsidR="00B30B86" w:rsidRDefault="00B30B86">
      <w:pPr>
        <w:pStyle w:val="FootnoteText"/>
      </w:pPr>
      <w:r>
        <w:rPr>
          <w:rStyle w:val="FootnoteReference"/>
        </w:rPr>
        <w:footnoteRef/>
      </w:r>
      <w:r>
        <w:t xml:space="preserve"> See, for example, Jackson MO. (2008). </w:t>
      </w:r>
      <w:r w:rsidRPr="00361E9D">
        <w:rPr>
          <w:i/>
        </w:rPr>
        <w:t>Social and Economic Networks</w:t>
      </w:r>
      <w:r>
        <w:t>. Princeton: Princeton University Press, pp. 185-188.</w:t>
      </w:r>
    </w:p>
  </w:footnote>
  <w:footnote w:id="36">
    <w:p w14:paraId="4D900D63" w14:textId="77777777" w:rsidR="00B30B86" w:rsidRDefault="00B30B86">
      <w:pPr>
        <w:pStyle w:val="FootnoteText"/>
      </w:pPr>
      <w:r>
        <w:rPr>
          <w:rStyle w:val="FootnoteReference"/>
        </w:rPr>
        <w:footnoteRef/>
      </w:r>
      <w:r>
        <w:t xml:space="preserve"> We note that the pool of potential adopters expanded in 2018, when nurse practitioners and physician assistants became able to obtain the waiver for 275 patients, a number of whom did then obtain these waivers. </w:t>
      </w:r>
    </w:p>
  </w:footnote>
  <w:footnote w:id="37">
    <w:p w14:paraId="2A5E68CE" w14:textId="77777777" w:rsidR="00B30B86" w:rsidRDefault="00B30B86">
      <w:pPr>
        <w:pStyle w:val="FootnoteText"/>
      </w:pPr>
      <w:r>
        <w:rPr>
          <w:rStyle w:val="FootnoteReference"/>
        </w:rPr>
        <w:footnoteRef/>
      </w:r>
      <w:r>
        <w:t xml:space="preserve"> Because the county-level networks overlap, they in effect form a large state-wide network. We computed prescriber ties such that they reflect centrality in this overall network, so that the degree measure could be applied across all waivered prescribers.</w:t>
      </w:r>
    </w:p>
  </w:footnote>
  <w:footnote w:id="38">
    <w:p w14:paraId="02E77883" w14:textId="77777777" w:rsidR="00B30B86" w:rsidRDefault="00B30B86">
      <w:pPr>
        <w:pStyle w:val="FootnoteText"/>
      </w:pPr>
      <w:r>
        <w:rPr>
          <w:rStyle w:val="FootnoteReference"/>
        </w:rPr>
        <w:footnoteRef/>
      </w:r>
      <w:r>
        <w:t xml:space="preserve"> Dearing JW &amp; Cox JG. </w:t>
      </w:r>
      <w:r>
        <w:t xml:space="preserve">(2018). Diffusion of innovations theory, principles, and practice. </w:t>
      </w:r>
      <w:r w:rsidRPr="00F37459">
        <w:rPr>
          <w:i/>
        </w:rPr>
        <w:t>Health Affairs; 37(2):</w:t>
      </w:r>
      <w:r>
        <w:t xml:space="preserve"> 183-190. </w:t>
      </w:r>
      <w:r>
        <w:t>Doi: 10.1377/hlthaff.2017.1104.</w:t>
      </w:r>
    </w:p>
  </w:footnote>
  <w:footnote w:id="39">
    <w:p w14:paraId="0506EC9F" w14:textId="77777777" w:rsidR="00B30B86" w:rsidRDefault="00B30B86">
      <w:pPr>
        <w:pStyle w:val="FootnoteText"/>
      </w:pPr>
      <w:r>
        <w:rPr>
          <w:rStyle w:val="FootnoteReference"/>
        </w:rPr>
        <w:footnoteRef/>
      </w:r>
      <w:r>
        <w:t xml:space="preserve"> We ran the same logistic regressions for the whole sample of 100-patient waivered prescribers in each year, and the significant predictors of adoption of the 275-patient waiver did not change.</w:t>
      </w:r>
    </w:p>
  </w:footnote>
  <w:footnote w:id="40">
    <w:p w14:paraId="75B0379F" w14:textId="77777777" w:rsidR="00B30B86" w:rsidRDefault="00B30B86">
      <w:pPr>
        <w:pStyle w:val="FootnoteText"/>
      </w:pPr>
      <w:r>
        <w:rPr>
          <w:rStyle w:val="FootnoteReference"/>
        </w:rPr>
        <w:footnoteRef/>
      </w:r>
      <w:r>
        <w:t xml:space="preserve"> XXX</w:t>
      </w:r>
    </w:p>
  </w:footnote>
  <w:footnote w:id="41">
    <w:p w14:paraId="0452D7E0" w14:textId="77777777" w:rsidR="00B30B86" w:rsidRDefault="00B30B86" w:rsidP="003B77E7">
      <w:pPr>
        <w:pStyle w:val="FootnoteText"/>
      </w:pPr>
      <w:r>
        <w:rPr>
          <w:rStyle w:val="FootnoteReference"/>
        </w:rPr>
        <w:footnoteRef/>
      </w:r>
      <w:r>
        <w:t xml:space="preserve"> It is also true that the median number of MOUD patients increased substantially with waivers for the higher patient limits, and having more patients would increase the likelihood of having more shared-patient ties. However, median number of patients and number of shared-patient ties were only modestly correlated (correlation coefficient of about .3).</w:t>
      </w:r>
    </w:p>
  </w:footnote>
  <w:footnote w:id="42">
    <w:p w14:paraId="79306026" w14:textId="77777777" w:rsidR="00B30B86" w:rsidRDefault="00B30B86" w:rsidP="003B77E7">
      <w:pPr>
        <w:pStyle w:val="FootnoteText"/>
      </w:pPr>
      <w:r>
        <w:rPr>
          <w:rStyle w:val="FootnoteReference"/>
        </w:rPr>
        <w:footnoteRef/>
      </w:r>
      <w:r>
        <w:t xml:space="preserve"> The presence of hubs also facilitates the other two network properties we measured – the percent of network prescribers in the largest connected component and network centrality.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97C"/>
    <w:multiLevelType w:val="hybridMultilevel"/>
    <w:tmpl w:val="CBC866D6"/>
    <w:lvl w:ilvl="0" w:tplc="A662AE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EB3FA7"/>
    <w:multiLevelType w:val="hybridMultilevel"/>
    <w:tmpl w:val="C8864F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B75449"/>
    <w:multiLevelType w:val="hybridMultilevel"/>
    <w:tmpl w:val="8A4062A2"/>
    <w:lvl w:ilvl="0" w:tplc="6C00C16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6449C5"/>
    <w:multiLevelType w:val="hybridMultilevel"/>
    <w:tmpl w:val="F78EA9A2"/>
    <w:lvl w:ilvl="0" w:tplc="04090017">
      <w:start w:val="1"/>
      <w:numFmt w:val="lowerLetter"/>
      <w:lvlText w:val="%1)"/>
      <w:lvlJc w:val="left"/>
      <w:pPr>
        <w:ind w:left="360" w:hanging="360"/>
      </w:pPr>
      <w:rPr>
        <w:rFonts w:hint="default"/>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4A0497"/>
    <w:multiLevelType w:val="hybridMultilevel"/>
    <w:tmpl w:val="0FD4A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03248"/>
    <w:multiLevelType w:val="hybridMultilevel"/>
    <w:tmpl w:val="423ED2C8"/>
    <w:lvl w:ilvl="0" w:tplc="6C00C16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FD29E5"/>
    <w:multiLevelType w:val="hybridMultilevel"/>
    <w:tmpl w:val="BF7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2801EC"/>
    <w:multiLevelType w:val="hybridMultilevel"/>
    <w:tmpl w:val="F3C45BB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CB2EE1"/>
    <w:multiLevelType w:val="hybridMultilevel"/>
    <w:tmpl w:val="3594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F56C59"/>
    <w:multiLevelType w:val="hybridMultilevel"/>
    <w:tmpl w:val="E376A452"/>
    <w:lvl w:ilvl="0" w:tplc="0644D00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3F65042"/>
    <w:multiLevelType w:val="hybridMultilevel"/>
    <w:tmpl w:val="5A10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4C41CD"/>
    <w:multiLevelType w:val="hybridMultilevel"/>
    <w:tmpl w:val="1142574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916F89"/>
    <w:multiLevelType w:val="hybridMultilevel"/>
    <w:tmpl w:val="3D542A96"/>
    <w:lvl w:ilvl="0" w:tplc="09C0536E">
      <w:start w:val="1"/>
      <w:numFmt w:val="upperRoman"/>
      <w:lvlText w:val="%1."/>
      <w:lvlJc w:val="left"/>
      <w:pPr>
        <w:ind w:left="72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C11D57"/>
    <w:multiLevelType w:val="hybridMultilevel"/>
    <w:tmpl w:val="F036CCB2"/>
    <w:lvl w:ilvl="0" w:tplc="F7AC42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2"/>
  </w:num>
  <w:num w:numId="4">
    <w:abstractNumId w:val="8"/>
  </w:num>
  <w:num w:numId="5">
    <w:abstractNumId w:val="6"/>
  </w:num>
  <w:num w:numId="6">
    <w:abstractNumId w:val="4"/>
  </w:num>
  <w:num w:numId="7">
    <w:abstractNumId w:val="1"/>
  </w:num>
  <w:num w:numId="8">
    <w:abstractNumId w:val="0"/>
  </w:num>
  <w:num w:numId="9">
    <w:abstractNumId w:val="7"/>
  </w:num>
  <w:num w:numId="10">
    <w:abstractNumId w:val="11"/>
  </w:num>
  <w:num w:numId="11">
    <w:abstractNumId w:val="3"/>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8FC"/>
    <w:rsid w:val="0001699C"/>
    <w:rsid w:val="00040E65"/>
    <w:rsid w:val="000560C9"/>
    <w:rsid w:val="00056658"/>
    <w:rsid w:val="00057DE6"/>
    <w:rsid w:val="00064EA4"/>
    <w:rsid w:val="00072880"/>
    <w:rsid w:val="00086FC0"/>
    <w:rsid w:val="00095A1A"/>
    <w:rsid w:val="000B6223"/>
    <w:rsid w:val="000C40FA"/>
    <w:rsid w:val="000F02F3"/>
    <w:rsid w:val="00103BE8"/>
    <w:rsid w:val="00104BE9"/>
    <w:rsid w:val="00104D88"/>
    <w:rsid w:val="00125316"/>
    <w:rsid w:val="0012578A"/>
    <w:rsid w:val="00134F52"/>
    <w:rsid w:val="00137D8D"/>
    <w:rsid w:val="00143AEE"/>
    <w:rsid w:val="001558A2"/>
    <w:rsid w:val="00163A89"/>
    <w:rsid w:val="00173FC4"/>
    <w:rsid w:val="00194770"/>
    <w:rsid w:val="0019745D"/>
    <w:rsid w:val="001A5348"/>
    <w:rsid w:val="001C0B0B"/>
    <w:rsid w:val="001C1C75"/>
    <w:rsid w:val="001C4C3C"/>
    <w:rsid w:val="001E37B7"/>
    <w:rsid w:val="001E3EF7"/>
    <w:rsid w:val="001F3099"/>
    <w:rsid w:val="001F5C3C"/>
    <w:rsid w:val="00203036"/>
    <w:rsid w:val="00211489"/>
    <w:rsid w:val="00212E03"/>
    <w:rsid w:val="0026696F"/>
    <w:rsid w:val="00277D0C"/>
    <w:rsid w:val="002806FB"/>
    <w:rsid w:val="002938B4"/>
    <w:rsid w:val="00297163"/>
    <w:rsid w:val="002A2BA6"/>
    <w:rsid w:val="002A750B"/>
    <w:rsid w:val="002D2A09"/>
    <w:rsid w:val="002E0469"/>
    <w:rsid w:val="002F01A9"/>
    <w:rsid w:val="0030334B"/>
    <w:rsid w:val="0031073E"/>
    <w:rsid w:val="003215BD"/>
    <w:rsid w:val="00340FD8"/>
    <w:rsid w:val="00342EA0"/>
    <w:rsid w:val="00346BE3"/>
    <w:rsid w:val="00352252"/>
    <w:rsid w:val="0035534A"/>
    <w:rsid w:val="00361E9D"/>
    <w:rsid w:val="00362C37"/>
    <w:rsid w:val="003770AC"/>
    <w:rsid w:val="003801E6"/>
    <w:rsid w:val="00387436"/>
    <w:rsid w:val="003910F9"/>
    <w:rsid w:val="00391D06"/>
    <w:rsid w:val="003A5495"/>
    <w:rsid w:val="003A68D1"/>
    <w:rsid w:val="003B55BA"/>
    <w:rsid w:val="003B77E7"/>
    <w:rsid w:val="003D3BEB"/>
    <w:rsid w:val="003F656D"/>
    <w:rsid w:val="00403DFC"/>
    <w:rsid w:val="00405D59"/>
    <w:rsid w:val="004358A8"/>
    <w:rsid w:val="00461EF0"/>
    <w:rsid w:val="00464B3C"/>
    <w:rsid w:val="004761F9"/>
    <w:rsid w:val="0047730D"/>
    <w:rsid w:val="00487011"/>
    <w:rsid w:val="004A10EA"/>
    <w:rsid w:val="004A3072"/>
    <w:rsid w:val="004A46E7"/>
    <w:rsid w:val="004C317C"/>
    <w:rsid w:val="004C3A6C"/>
    <w:rsid w:val="004C3B61"/>
    <w:rsid w:val="004C41C8"/>
    <w:rsid w:val="004C525C"/>
    <w:rsid w:val="004C70CE"/>
    <w:rsid w:val="004D4F65"/>
    <w:rsid w:val="004D5E9E"/>
    <w:rsid w:val="004D6345"/>
    <w:rsid w:val="004D7DC6"/>
    <w:rsid w:val="004F0AB4"/>
    <w:rsid w:val="004F27A9"/>
    <w:rsid w:val="0050097F"/>
    <w:rsid w:val="005017DD"/>
    <w:rsid w:val="0050402A"/>
    <w:rsid w:val="0051439B"/>
    <w:rsid w:val="005167B5"/>
    <w:rsid w:val="00534598"/>
    <w:rsid w:val="00536E02"/>
    <w:rsid w:val="00546B85"/>
    <w:rsid w:val="00564D48"/>
    <w:rsid w:val="00582CC6"/>
    <w:rsid w:val="005A6A24"/>
    <w:rsid w:val="005B1735"/>
    <w:rsid w:val="005B5D74"/>
    <w:rsid w:val="005B7AA1"/>
    <w:rsid w:val="005D4399"/>
    <w:rsid w:val="005D79AF"/>
    <w:rsid w:val="005E01EC"/>
    <w:rsid w:val="005E0A52"/>
    <w:rsid w:val="005E37F1"/>
    <w:rsid w:val="006017F9"/>
    <w:rsid w:val="006036CD"/>
    <w:rsid w:val="00611234"/>
    <w:rsid w:val="00625FAE"/>
    <w:rsid w:val="006304F7"/>
    <w:rsid w:val="006316E6"/>
    <w:rsid w:val="00682E75"/>
    <w:rsid w:val="00693978"/>
    <w:rsid w:val="00695D98"/>
    <w:rsid w:val="006A06C5"/>
    <w:rsid w:val="006A2D67"/>
    <w:rsid w:val="006A48D6"/>
    <w:rsid w:val="006A5BAA"/>
    <w:rsid w:val="006B334D"/>
    <w:rsid w:val="006C6BB5"/>
    <w:rsid w:val="006C7F07"/>
    <w:rsid w:val="006E14BD"/>
    <w:rsid w:val="006E3162"/>
    <w:rsid w:val="006F64AF"/>
    <w:rsid w:val="00704555"/>
    <w:rsid w:val="00706488"/>
    <w:rsid w:val="007066F6"/>
    <w:rsid w:val="00725F5A"/>
    <w:rsid w:val="00761EB9"/>
    <w:rsid w:val="00767042"/>
    <w:rsid w:val="007821B3"/>
    <w:rsid w:val="007A343E"/>
    <w:rsid w:val="007A6E46"/>
    <w:rsid w:val="007B01B0"/>
    <w:rsid w:val="007C1C5B"/>
    <w:rsid w:val="007C33DD"/>
    <w:rsid w:val="007C4EA7"/>
    <w:rsid w:val="007E46AA"/>
    <w:rsid w:val="007F48A8"/>
    <w:rsid w:val="007F59BF"/>
    <w:rsid w:val="007F7931"/>
    <w:rsid w:val="0080634C"/>
    <w:rsid w:val="00815AD8"/>
    <w:rsid w:val="008206C5"/>
    <w:rsid w:val="00820D97"/>
    <w:rsid w:val="00830921"/>
    <w:rsid w:val="008419F7"/>
    <w:rsid w:val="008452F8"/>
    <w:rsid w:val="00851F44"/>
    <w:rsid w:val="00874760"/>
    <w:rsid w:val="00892AE4"/>
    <w:rsid w:val="008C2357"/>
    <w:rsid w:val="008C2489"/>
    <w:rsid w:val="008D6880"/>
    <w:rsid w:val="008E7880"/>
    <w:rsid w:val="008F48B7"/>
    <w:rsid w:val="00900927"/>
    <w:rsid w:val="0090134A"/>
    <w:rsid w:val="00914DCF"/>
    <w:rsid w:val="009250C5"/>
    <w:rsid w:val="00931B08"/>
    <w:rsid w:val="009415A7"/>
    <w:rsid w:val="00953B3B"/>
    <w:rsid w:val="00961CD5"/>
    <w:rsid w:val="0096784E"/>
    <w:rsid w:val="00967CB9"/>
    <w:rsid w:val="009C1F70"/>
    <w:rsid w:val="009C42AE"/>
    <w:rsid w:val="009E0027"/>
    <w:rsid w:val="009E1D93"/>
    <w:rsid w:val="009F0EA9"/>
    <w:rsid w:val="00A203EC"/>
    <w:rsid w:val="00A26268"/>
    <w:rsid w:val="00A37B75"/>
    <w:rsid w:val="00A429D9"/>
    <w:rsid w:val="00A5473B"/>
    <w:rsid w:val="00A57372"/>
    <w:rsid w:val="00A61C8F"/>
    <w:rsid w:val="00A7519C"/>
    <w:rsid w:val="00A82530"/>
    <w:rsid w:val="00A9335A"/>
    <w:rsid w:val="00A97D49"/>
    <w:rsid w:val="00AA3481"/>
    <w:rsid w:val="00AB15E7"/>
    <w:rsid w:val="00AB4441"/>
    <w:rsid w:val="00AB71C5"/>
    <w:rsid w:val="00AD353D"/>
    <w:rsid w:val="00AE5D61"/>
    <w:rsid w:val="00AF7679"/>
    <w:rsid w:val="00B05D89"/>
    <w:rsid w:val="00B07412"/>
    <w:rsid w:val="00B15E02"/>
    <w:rsid w:val="00B30B86"/>
    <w:rsid w:val="00B35516"/>
    <w:rsid w:val="00B40285"/>
    <w:rsid w:val="00B40A0F"/>
    <w:rsid w:val="00B60F50"/>
    <w:rsid w:val="00B77FF8"/>
    <w:rsid w:val="00B84273"/>
    <w:rsid w:val="00B978F5"/>
    <w:rsid w:val="00BA00F3"/>
    <w:rsid w:val="00BA5DC1"/>
    <w:rsid w:val="00BB3F1A"/>
    <w:rsid w:val="00BB71A1"/>
    <w:rsid w:val="00BC5069"/>
    <w:rsid w:val="00BD73D2"/>
    <w:rsid w:val="00BE1391"/>
    <w:rsid w:val="00C02DA0"/>
    <w:rsid w:val="00C039B1"/>
    <w:rsid w:val="00C04CEF"/>
    <w:rsid w:val="00C108FC"/>
    <w:rsid w:val="00C243E6"/>
    <w:rsid w:val="00C2540A"/>
    <w:rsid w:val="00C3435B"/>
    <w:rsid w:val="00C34FAE"/>
    <w:rsid w:val="00C85817"/>
    <w:rsid w:val="00C86581"/>
    <w:rsid w:val="00C90425"/>
    <w:rsid w:val="00CA0839"/>
    <w:rsid w:val="00CA55D3"/>
    <w:rsid w:val="00CB1EC1"/>
    <w:rsid w:val="00CD3381"/>
    <w:rsid w:val="00CD377A"/>
    <w:rsid w:val="00CD3FC1"/>
    <w:rsid w:val="00CF0D72"/>
    <w:rsid w:val="00CF28A9"/>
    <w:rsid w:val="00CF585B"/>
    <w:rsid w:val="00CF79C8"/>
    <w:rsid w:val="00D00B5D"/>
    <w:rsid w:val="00D16FBC"/>
    <w:rsid w:val="00D22C15"/>
    <w:rsid w:val="00D344DD"/>
    <w:rsid w:val="00D46E0D"/>
    <w:rsid w:val="00D515E5"/>
    <w:rsid w:val="00D541AC"/>
    <w:rsid w:val="00D702AB"/>
    <w:rsid w:val="00D75903"/>
    <w:rsid w:val="00D845A9"/>
    <w:rsid w:val="00D85FA1"/>
    <w:rsid w:val="00D958FE"/>
    <w:rsid w:val="00D95A0E"/>
    <w:rsid w:val="00DA062A"/>
    <w:rsid w:val="00DB2A29"/>
    <w:rsid w:val="00DC0696"/>
    <w:rsid w:val="00DC643B"/>
    <w:rsid w:val="00DD3F9A"/>
    <w:rsid w:val="00DF26A0"/>
    <w:rsid w:val="00E016A1"/>
    <w:rsid w:val="00E05127"/>
    <w:rsid w:val="00E11DE0"/>
    <w:rsid w:val="00E1278D"/>
    <w:rsid w:val="00E1314B"/>
    <w:rsid w:val="00E24069"/>
    <w:rsid w:val="00E265DE"/>
    <w:rsid w:val="00E2783C"/>
    <w:rsid w:val="00E2790C"/>
    <w:rsid w:val="00E31A83"/>
    <w:rsid w:val="00E34E5C"/>
    <w:rsid w:val="00E37518"/>
    <w:rsid w:val="00E91F5F"/>
    <w:rsid w:val="00EC2603"/>
    <w:rsid w:val="00EC2EC5"/>
    <w:rsid w:val="00ED3D11"/>
    <w:rsid w:val="00ED44F4"/>
    <w:rsid w:val="00EE27A1"/>
    <w:rsid w:val="00EF6D12"/>
    <w:rsid w:val="00EF6FBE"/>
    <w:rsid w:val="00F03081"/>
    <w:rsid w:val="00F12DA1"/>
    <w:rsid w:val="00F15A07"/>
    <w:rsid w:val="00F37459"/>
    <w:rsid w:val="00F40095"/>
    <w:rsid w:val="00F51722"/>
    <w:rsid w:val="00F57133"/>
    <w:rsid w:val="00F617FC"/>
    <w:rsid w:val="00F64A97"/>
    <w:rsid w:val="00F660F9"/>
    <w:rsid w:val="00F73E53"/>
    <w:rsid w:val="00F809C0"/>
    <w:rsid w:val="00F82FBD"/>
    <w:rsid w:val="00F92531"/>
    <w:rsid w:val="00F955EC"/>
    <w:rsid w:val="00F96A5C"/>
    <w:rsid w:val="00F97675"/>
    <w:rsid w:val="00FA0C38"/>
    <w:rsid w:val="00FA0E8F"/>
    <w:rsid w:val="00FA3F28"/>
    <w:rsid w:val="00FA72C1"/>
    <w:rsid w:val="00FB5032"/>
    <w:rsid w:val="00FE0432"/>
    <w:rsid w:val="00FE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358F"/>
  <w15:docId w15:val="{19E49D90-6E6A-4C78-B896-40A94732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8FC"/>
    <w:pPr>
      <w:ind w:left="720"/>
      <w:contextualSpacing/>
    </w:p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B5"/>
    <w:rPr>
      <w:rFonts w:ascii="Tahoma" w:hAnsi="Tahoma" w:cs="Tahoma"/>
      <w:sz w:val="16"/>
      <w:szCs w:val="16"/>
    </w:rPr>
  </w:style>
  <w:style w:type="paragraph" w:styleId="EndnoteText">
    <w:name w:val="endnote text"/>
    <w:basedOn w:val="Normal"/>
    <w:link w:val="EndnoteTextChar"/>
    <w:uiPriority w:val="99"/>
    <w:semiHidden/>
    <w:unhideWhenUsed/>
    <w:rsid w:val="00405D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D59"/>
    <w:rPr>
      <w:sz w:val="20"/>
      <w:szCs w:val="20"/>
    </w:rPr>
  </w:style>
  <w:style w:type="character" w:styleId="EndnoteReference">
    <w:name w:val="endnote reference"/>
    <w:basedOn w:val="DefaultParagraphFont"/>
    <w:uiPriority w:val="99"/>
    <w:semiHidden/>
    <w:unhideWhenUsed/>
    <w:rsid w:val="00405D59"/>
    <w:rPr>
      <w:vertAlign w:val="superscript"/>
    </w:rPr>
  </w:style>
  <w:style w:type="paragraph" w:styleId="FootnoteText">
    <w:name w:val="footnote text"/>
    <w:basedOn w:val="Normal"/>
    <w:link w:val="FootnoteTextChar"/>
    <w:uiPriority w:val="99"/>
    <w:semiHidden/>
    <w:unhideWhenUsed/>
    <w:rsid w:val="008E7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80"/>
    <w:rPr>
      <w:sz w:val="20"/>
      <w:szCs w:val="20"/>
    </w:rPr>
  </w:style>
  <w:style w:type="character" w:styleId="FootnoteReference">
    <w:name w:val="footnote reference"/>
    <w:basedOn w:val="DefaultParagraphFont"/>
    <w:uiPriority w:val="99"/>
    <w:semiHidden/>
    <w:unhideWhenUsed/>
    <w:rsid w:val="008E7880"/>
    <w:rPr>
      <w:vertAlign w:val="superscript"/>
    </w:rPr>
  </w:style>
  <w:style w:type="paragraph" w:styleId="Header">
    <w:name w:val="header"/>
    <w:basedOn w:val="Normal"/>
    <w:link w:val="HeaderChar"/>
    <w:uiPriority w:val="99"/>
    <w:unhideWhenUsed/>
    <w:rsid w:val="00601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7F9"/>
  </w:style>
  <w:style w:type="paragraph" w:styleId="Footer">
    <w:name w:val="footer"/>
    <w:basedOn w:val="Normal"/>
    <w:link w:val="FooterChar"/>
    <w:uiPriority w:val="99"/>
    <w:unhideWhenUsed/>
    <w:rsid w:val="00601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F9"/>
  </w:style>
  <w:style w:type="character" w:styleId="Hyperlink">
    <w:name w:val="Hyperlink"/>
    <w:basedOn w:val="DefaultParagraphFont"/>
    <w:uiPriority w:val="99"/>
    <w:unhideWhenUsed/>
    <w:rsid w:val="007F48A8"/>
    <w:rPr>
      <w:color w:val="0000FF" w:themeColor="hyperlink"/>
      <w:u w:val="single"/>
    </w:rPr>
  </w:style>
  <w:style w:type="paragraph" w:styleId="NormalWeb">
    <w:name w:val="Normal (Web)"/>
    <w:basedOn w:val="Normal"/>
    <w:uiPriority w:val="99"/>
    <w:semiHidden/>
    <w:unhideWhenUsed/>
    <w:rsid w:val="00F64A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23366">
      <w:bodyDiv w:val="1"/>
      <w:marLeft w:val="0"/>
      <w:marRight w:val="0"/>
      <w:marTop w:val="0"/>
      <w:marBottom w:val="0"/>
      <w:divBdr>
        <w:top w:val="none" w:sz="0" w:space="0" w:color="auto"/>
        <w:left w:val="none" w:sz="0" w:space="0" w:color="auto"/>
        <w:bottom w:val="none" w:sz="0" w:space="0" w:color="auto"/>
        <w:right w:val="none" w:sz="0" w:space="0" w:color="auto"/>
      </w:divBdr>
    </w:div>
    <w:div w:id="181117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3.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oi.org/10.1007/s11606-019-04978-9" TargetMode="External"/><Relationship Id="rId1" Type="http://schemas.openxmlformats.org/officeDocument/2006/relationships/hyperlink" Target="https://www.mass.gov/lists/medication-assisted-treatment-mat-commission-documen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spcBef>
                <a:spcPts val="600"/>
              </a:spcBef>
              <a:defRPr/>
            </a:pPr>
            <a:r>
              <a:rPr lang="en-US" sz="1200"/>
              <a:t>Figure II.1: OUD Treatment Capacity for Massachusetts Counties, 2011 - 2018</a:t>
            </a:r>
          </a:p>
        </c:rich>
      </c:tx>
      <c:layout>
        <c:manualLayout>
          <c:xMode val="edge"/>
          <c:yMode val="edge"/>
          <c:x val="0.15476941039112668"/>
          <c:y val="1.9184652278177457E-2"/>
        </c:manualLayout>
      </c:layout>
      <c:overlay val="0"/>
    </c:title>
    <c:autoTitleDeleted val="0"/>
    <c:plotArea>
      <c:layout/>
      <c:lineChart>
        <c:grouping val="standard"/>
        <c:varyColors val="0"/>
        <c:ser>
          <c:idx val="0"/>
          <c:order val="0"/>
          <c:tx>
            <c:strRef>
              <c:f>Sheet1!$H$33</c:f>
              <c:strCache>
                <c:ptCount val="1"/>
                <c:pt idx="0">
                  <c:v>Barnstable</c:v>
                </c:pt>
              </c:strCache>
            </c:strRef>
          </c:tx>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Sheet1!$I$33:$P$33</c:f>
              <c:numCache>
                <c:formatCode>0</c:formatCode>
                <c:ptCount val="8"/>
                <c:pt idx="0">
                  <c:v>1600</c:v>
                </c:pt>
                <c:pt idx="1">
                  <c:v>1790</c:v>
                </c:pt>
                <c:pt idx="2">
                  <c:v>2140</c:v>
                </c:pt>
                <c:pt idx="3">
                  <c:v>2640</c:v>
                </c:pt>
                <c:pt idx="4">
                  <c:v>3240</c:v>
                </c:pt>
                <c:pt idx="5">
                  <c:v>5735</c:v>
                </c:pt>
                <c:pt idx="6">
                  <c:v>7370</c:v>
                </c:pt>
                <c:pt idx="7">
                  <c:v>8880</c:v>
                </c:pt>
              </c:numCache>
            </c:numRef>
          </c:val>
          <c:smooth val="0"/>
          <c:extLst>
            <c:ext xmlns:c16="http://schemas.microsoft.com/office/drawing/2014/chart" uri="{C3380CC4-5D6E-409C-BE32-E72D297353CC}">
              <c16:uniqueId val="{00000000-F43C-4ADD-8752-38CA94AA8E46}"/>
            </c:ext>
          </c:extLst>
        </c:ser>
        <c:ser>
          <c:idx val="1"/>
          <c:order val="1"/>
          <c:tx>
            <c:strRef>
              <c:f>Sheet1!$H$34</c:f>
              <c:strCache>
                <c:ptCount val="1"/>
                <c:pt idx="0">
                  <c:v>Berkshire</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Sheet1!$I$34:$P$34</c:f>
              <c:numCache>
                <c:formatCode>0</c:formatCode>
                <c:ptCount val="8"/>
                <c:pt idx="0">
                  <c:v>1240</c:v>
                </c:pt>
                <c:pt idx="1">
                  <c:v>1560</c:v>
                </c:pt>
                <c:pt idx="2">
                  <c:v>1680</c:v>
                </c:pt>
                <c:pt idx="3">
                  <c:v>1960</c:v>
                </c:pt>
                <c:pt idx="4">
                  <c:v>2360</c:v>
                </c:pt>
                <c:pt idx="5">
                  <c:v>3285</c:v>
                </c:pt>
                <c:pt idx="6">
                  <c:v>3820</c:v>
                </c:pt>
                <c:pt idx="7">
                  <c:v>4905</c:v>
                </c:pt>
              </c:numCache>
            </c:numRef>
          </c:val>
          <c:smooth val="0"/>
          <c:extLst>
            <c:ext xmlns:c16="http://schemas.microsoft.com/office/drawing/2014/chart" uri="{C3380CC4-5D6E-409C-BE32-E72D297353CC}">
              <c16:uniqueId val="{00000001-F43C-4ADD-8752-38CA94AA8E46}"/>
            </c:ext>
          </c:extLst>
        </c:ser>
        <c:ser>
          <c:idx val="2"/>
          <c:order val="2"/>
          <c:tx>
            <c:strRef>
              <c:f>Sheet1!$H$35</c:f>
              <c:strCache>
                <c:ptCount val="1"/>
                <c:pt idx="0">
                  <c:v>Bristol</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Sheet1!$I$35:$P$35</c:f>
              <c:numCache>
                <c:formatCode>0</c:formatCode>
                <c:ptCount val="8"/>
                <c:pt idx="0">
                  <c:v>3550</c:v>
                </c:pt>
                <c:pt idx="1">
                  <c:v>3980</c:v>
                </c:pt>
                <c:pt idx="2">
                  <c:v>4590</c:v>
                </c:pt>
                <c:pt idx="3">
                  <c:v>5220</c:v>
                </c:pt>
                <c:pt idx="4">
                  <c:v>6810</c:v>
                </c:pt>
                <c:pt idx="5">
                  <c:v>9085</c:v>
                </c:pt>
                <c:pt idx="6">
                  <c:v>11780</c:v>
                </c:pt>
                <c:pt idx="7">
                  <c:v>15900</c:v>
                </c:pt>
              </c:numCache>
            </c:numRef>
          </c:val>
          <c:smooth val="0"/>
          <c:extLst>
            <c:ext xmlns:c16="http://schemas.microsoft.com/office/drawing/2014/chart" uri="{C3380CC4-5D6E-409C-BE32-E72D297353CC}">
              <c16:uniqueId val="{00000002-F43C-4ADD-8752-38CA94AA8E46}"/>
            </c:ext>
          </c:extLst>
        </c:ser>
        <c:ser>
          <c:idx val="3"/>
          <c:order val="3"/>
          <c:tx>
            <c:strRef>
              <c:f>Sheet1!$H$36</c:f>
              <c:strCache>
                <c:ptCount val="1"/>
                <c:pt idx="0">
                  <c:v>Essex</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Sheet1!$I$36:$P$36</c:f>
              <c:numCache>
                <c:formatCode>0</c:formatCode>
                <c:ptCount val="8"/>
                <c:pt idx="0">
                  <c:v>4590</c:v>
                </c:pt>
                <c:pt idx="1">
                  <c:v>5280</c:v>
                </c:pt>
                <c:pt idx="2">
                  <c:v>6170</c:v>
                </c:pt>
                <c:pt idx="3">
                  <c:v>7040</c:v>
                </c:pt>
                <c:pt idx="4">
                  <c:v>7910</c:v>
                </c:pt>
                <c:pt idx="5">
                  <c:v>11325</c:v>
                </c:pt>
                <c:pt idx="6">
                  <c:v>13985</c:v>
                </c:pt>
                <c:pt idx="7">
                  <c:v>19550</c:v>
                </c:pt>
              </c:numCache>
            </c:numRef>
          </c:val>
          <c:smooth val="0"/>
          <c:extLst>
            <c:ext xmlns:c16="http://schemas.microsoft.com/office/drawing/2014/chart" uri="{C3380CC4-5D6E-409C-BE32-E72D297353CC}">
              <c16:uniqueId val="{00000003-F43C-4ADD-8752-38CA94AA8E46}"/>
            </c:ext>
          </c:extLst>
        </c:ser>
        <c:ser>
          <c:idx val="4"/>
          <c:order val="4"/>
          <c:tx>
            <c:strRef>
              <c:f>Sheet1!$H$37</c:f>
              <c:strCache>
                <c:ptCount val="1"/>
                <c:pt idx="0">
                  <c:v>Franklin</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Sheet1!$I$37:$P$37</c:f>
              <c:numCache>
                <c:formatCode>0</c:formatCode>
                <c:ptCount val="8"/>
                <c:pt idx="0">
                  <c:v>690</c:v>
                </c:pt>
                <c:pt idx="1">
                  <c:v>820</c:v>
                </c:pt>
                <c:pt idx="2">
                  <c:v>920</c:v>
                </c:pt>
                <c:pt idx="3">
                  <c:v>1150</c:v>
                </c:pt>
                <c:pt idx="4">
                  <c:v>1580</c:v>
                </c:pt>
                <c:pt idx="5">
                  <c:v>2260</c:v>
                </c:pt>
                <c:pt idx="6">
                  <c:v>3125</c:v>
                </c:pt>
                <c:pt idx="7">
                  <c:v>4220</c:v>
                </c:pt>
              </c:numCache>
            </c:numRef>
          </c:val>
          <c:smooth val="0"/>
          <c:extLst>
            <c:ext xmlns:c16="http://schemas.microsoft.com/office/drawing/2014/chart" uri="{C3380CC4-5D6E-409C-BE32-E72D297353CC}">
              <c16:uniqueId val="{00000004-F43C-4ADD-8752-38CA94AA8E46}"/>
            </c:ext>
          </c:extLst>
        </c:ser>
        <c:ser>
          <c:idx val="5"/>
          <c:order val="5"/>
          <c:tx>
            <c:strRef>
              <c:f>Sheet1!$H$38</c:f>
              <c:strCache>
                <c:ptCount val="1"/>
                <c:pt idx="0">
                  <c:v>Hampden</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Sheet1!$I$38:$P$38</c:f>
              <c:numCache>
                <c:formatCode>0</c:formatCode>
                <c:ptCount val="8"/>
                <c:pt idx="0">
                  <c:v>3270</c:v>
                </c:pt>
                <c:pt idx="1">
                  <c:v>4160</c:v>
                </c:pt>
                <c:pt idx="2">
                  <c:v>4410</c:v>
                </c:pt>
                <c:pt idx="3">
                  <c:v>5310</c:v>
                </c:pt>
                <c:pt idx="4">
                  <c:v>6500</c:v>
                </c:pt>
                <c:pt idx="5">
                  <c:v>9660</c:v>
                </c:pt>
                <c:pt idx="6">
                  <c:v>12485</c:v>
                </c:pt>
                <c:pt idx="7">
                  <c:v>15785</c:v>
                </c:pt>
              </c:numCache>
            </c:numRef>
          </c:val>
          <c:smooth val="0"/>
          <c:extLst>
            <c:ext xmlns:c16="http://schemas.microsoft.com/office/drawing/2014/chart" uri="{C3380CC4-5D6E-409C-BE32-E72D297353CC}">
              <c16:uniqueId val="{00000005-F43C-4ADD-8752-38CA94AA8E46}"/>
            </c:ext>
          </c:extLst>
        </c:ser>
        <c:ser>
          <c:idx val="6"/>
          <c:order val="6"/>
          <c:tx>
            <c:strRef>
              <c:f>Sheet1!$H$39</c:f>
              <c:strCache>
                <c:ptCount val="1"/>
                <c:pt idx="0">
                  <c:v>Hampshire</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Sheet1!$I$39:$P$39</c:f>
              <c:numCache>
                <c:formatCode>0</c:formatCode>
                <c:ptCount val="8"/>
                <c:pt idx="0">
                  <c:v>2080</c:v>
                </c:pt>
                <c:pt idx="1">
                  <c:v>2310</c:v>
                </c:pt>
                <c:pt idx="2">
                  <c:v>2460</c:v>
                </c:pt>
                <c:pt idx="3">
                  <c:v>3040</c:v>
                </c:pt>
                <c:pt idx="4">
                  <c:v>3960</c:v>
                </c:pt>
                <c:pt idx="5">
                  <c:v>5315</c:v>
                </c:pt>
                <c:pt idx="6">
                  <c:v>6450</c:v>
                </c:pt>
                <c:pt idx="7">
                  <c:v>8340</c:v>
                </c:pt>
              </c:numCache>
            </c:numRef>
          </c:val>
          <c:smooth val="0"/>
          <c:extLst>
            <c:ext xmlns:c16="http://schemas.microsoft.com/office/drawing/2014/chart" uri="{C3380CC4-5D6E-409C-BE32-E72D297353CC}">
              <c16:uniqueId val="{00000006-F43C-4ADD-8752-38CA94AA8E46}"/>
            </c:ext>
          </c:extLst>
        </c:ser>
        <c:ser>
          <c:idx val="7"/>
          <c:order val="7"/>
          <c:tx>
            <c:strRef>
              <c:f>Sheet1!$H$40</c:f>
              <c:strCache>
                <c:ptCount val="1"/>
                <c:pt idx="0">
                  <c:v>Middlesex</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Sheet1!$I$40:$P$40</c:f>
              <c:numCache>
                <c:formatCode>0</c:formatCode>
                <c:ptCount val="8"/>
                <c:pt idx="0">
                  <c:v>10150</c:v>
                </c:pt>
                <c:pt idx="1">
                  <c:v>11260</c:v>
                </c:pt>
                <c:pt idx="2">
                  <c:v>12550</c:v>
                </c:pt>
                <c:pt idx="3">
                  <c:v>13920</c:v>
                </c:pt>
                <c:pt idx="4">
                  <c:v>15800</c:v>
                </c:pt>
                <c:pt idx="5">
                  <c:v>25195</c:v>
                </c:pt>
                <c:pt idx="6">
                  <c:v>30960</c:v>
                </c:pt>
                <c:pt idx="7">
                  <c:v>38640</c:v>
                </c:pt>
              </c:numCache>
            </c:numRef>
          </c:val>
          <c:smooth val="0"/>
          <c:extLst>
            <c:ext xmlns:c16="http://schemas.microsoft.com/office/drawing/2014/chart" uri="{C3380CC4-5D6E-409C-BE32-E72D297353CC}">
              <c16:uniqueId val="{00000007-F43C-4ADD-8752-38CA94AA8E46}"/>
            </c:ext>
          </c:extLst>
        </c:ser>
        <c:ser>
          <c:idx val="8"/>
          <c:order val="8"/>
          <c:tx>
            <c:strRef>
              <c:f>Sheet1!$H$41</c:f>
              <c:strCache>
                <c:ptCount val="1"/>
                <c:pt idx="0">
                  <c:v>Norfolk</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Sheet1!$I$41:$P$41</c:f>
              <c:numCache>
                <c:formatCode>0</c:formatCode>
                <c:ptCount val="8"/>
                <c:pt idx="0">
                  <c:v>3650</c:v>
                </c:pt>
                <c:pt idx="1">
                  <c:v>4300</c:v>
                </c:pt>
                <c:pt idx="2">
                  <c:v>5160</c:v>
                </c:pt>
                <c:pt idx="3">
                  <c:v>6090</c:v>
                </c:pt>
                <c:pt idx="4">
                  <c:v>7650</c:v>
                </c:pt>
                <c:pt idx="5">
                  <c:v>11255</c:v>
                </c:pt>
                <c:pt idx="6">
                  <c:v>13540</c:v>
                </c:pt>
                <c:pt idx="7">
                  <c:v>17060</c:v>
                </c:pt>
              </c:numCache>
            </c:numRef>
          </c:val>
          <c:smooth val="0"/>
          <c:extLst>
            <c:ext xmlns:c16="http://schemas.microsoft.com/office/drawing/2014/chart" uri="{C3380CC4-5D6E-409C-BE32-E72D297353CC}">
              <c16:uniqueId val="{00000008-F43C-4ADD-8752-38CA94AA8E46}"/>
            </c:ext>
          </c:extLst>
        </c:ser>
        <c:ser>
          <c:idx val="9"/>
          <c:order val="9"/>
          <c:tx>
            <c:strRef>
              <c:f>Sheet1!$H$42</c:f>
              <c:strCache>
                <c:ptCount val="1"/>
                <c:pt idx="0">
                  <c:v>Plymouth</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Sheet1!$I$42:$P$42</c:f>
              <c:numCache>
                <c:formatCode>0</c:formatCode>
                <c:ptCount val="8"/>
                <c:pt idx="0">
                  <c:v>2410</c:v>
                </c:pt>
                <c:pt idx="1">
                  <c:v>2790</c:v>
                </c:pt>
                <c:pt idx="2">
                  <c:v>3170</c:v>
                </c:pt>
                <c:pt idx="3">
                  <c:v>3430</c:v>
                </c:pt>
                <c:pt idx="4">
                  <c:v>4310</c:v>
                </c:pt>
                <c:pt idx="5">
                  <c:v>5880</c:v>
                </c:pt>
                <c:pt idx="6">
                  <c:v>7190</c:v>
                </c:pt>
                <c:pt idx="7">
                  <c:v>9355</c:v>
                </c:pt>
              </c:numCache>
            </c:numRef>
          </c:val>
          <c:smooth val="0"/>
          <c:extLst>
            <c:ext xmlns:c16="http://schemas.microsoft.com/office/drawing/2014/chart" uri="{C3380CC4-5D6E-409C-BE32-E72D297353CC}">
              <c16:uniqueId val="{00000009-F43C-4ADD-8752-38CA94AA8E46}"/>
            </c:ext>
          </c:extLst>
        </c:ser>
        <c:ser>
          <c:idx val="10"/>
          <c:order val="10"/>
          <c:tx>
            <c:strRef>
              <c:f>Sheet1!$H$43</c:f>
              <c:strCache>
                <c:ptCount val="1"/>
                <c:pt idx="0">
                  <c:v>Suffolk</c:v>
                </c:pt>
              </c:strCache>
            </c:strRef>
          </c:tx>
          <c:spPr>
            <a:ln w="38100"/>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Sheet1!$I$43:$P$43</c:f>
              <c:numCache>
                <c:formatCode>0</c:formatCode>
                <c:ptCount val="8"/>
                <c:pt idx="0">
                  <c:v>9950</c:v>
                </c:pt>
                <c:pt idx="1">
                  <c:v>11510</c:v>
                </c:pt>
                <c:pt idx="2">
                  <c:v>13510</c:v>
                </c:pt>
                <c:pt idx="3">
                  <c:v>15590</c:v>
                </c:pt>
                <c:pt idx="4">
                  <c:v>18910</c:v>
                </c:pt>
                <c:pt idx="5">
                  <c:v>26775</c:v>
                </c:pt>
                <c:pt idx="6">
                  <c:v>34510</c:v>
                </c:pt>
                <c:pt idx="7">
                  <c:v>48460</c:v>
                </c:pt>
              </c:numCache>
            </c:numRef>
          </c:val>
          <c:smooth val="0"/>
          <c:extLst>
            <c:ext xmlns:c16="http://schemas.microsoft.com/office/drawing/2014/chart" uri="{C3380CC4-5D6E-409C-BE32-E72D297353CC}">
              <c16:uniqueId val="{0000000A-F43C-4ADD-8752-38CA94AA8E46}"/>
            </c:ext>
          </c:extLst>
        </c:ser>
        <c:ser>
          <c:idx val="11"/>
          <c:order val="11"/>
          <c:tx>
            <c:strRef>
              <c:f>Sheet1!$H$44</c:f>
              <c:strCache>
                <c:ptCount val="1"/>
                <c:pt idx="0">
                  <c:v>Worcester</c:v>
                </c:pt>
              </c:strCache>
            </c:strRef>
          </c:tx>
          <c:spPr>
            <a:ln w="38100">
              <a:solidFill>
                <a:schemeClr val="accent1"/>
              </a:solidFill>
            </a:ln>
          </c:spPr>
          <c:marker>
            <c:symbol val="none"/>
          </c:marker>
          <c:cat>
            <c:numRef>
              <c:f>Sheet1!$I$32:$P$32</c:f>
              <c:numCache>
                <c:formatCode>0</c:formatCode>
                <c:ptCount val="8"/>
                <c:pt idx="0">
                  <c:v>2011</c:v>
                </c:pt>
                <c:pt idx="1">
                  <c:v>2012</c:v>
                </c:pt>
                <c:pt idx="2">
                  <c:v>2013</c:v>
                </c:pt>
                <c:pt idx="3">
                  <c:v>2014</c:v>
                </c:pt>
                <c:pt idx="4">
                  <c:v>2015</c:v>
                </c:pt>
                <c:pt idx="5">
                  <c:v>2016</c:v>
                </c:pt>
                <c:pt idx="6">
                  <c:v>2017</c:v>
                </c:pt>
                <c:pt idx="7">
                  <c:v>2018</c:v>
                </c:pt>
              </c:numCache>
            </c:numRef>
          </c:cat>
          <c:val>
            <c:numRef>
              <c:f>Sheet1!$I$44:$P$44</c:f>
              <c:numCache>
                <c:formatCode>0</c:formatCode>
                <c:ptCount val="8"/>
                <c:pt idx="0">
                  <c:v>5230</c:v>
                </c:pt>
                <c:pt idx="1">
                  <c:v>6140</c:v>
                </c:pt>
                <c:pt idx="2">
                  <c:v>7240</c:v>
                </c:pt>
                <c:pt idx="3">
                  <c:v>8240</c:v>
                </c:pt>
                <c:pt idx="4">
                  <c:v>10000</c:v>
                </c:pt>
                <c:pt idx="5">
                  <c:v>15300</c:v>
                </c:pt>
                <c:pt idx="6">
                  <c:v>18720</c:v>
                </c:pt>
                <c:pt idx="7">
                  <c:v>22360</c:v>
                </c:pt>
              </c:numCache>
            </c:numRef>
          </c:val>
          <c:smooth val="0"/>
          <c:extLst>
            <c:ext xmlns:c16="http://schemas.microsoft.com/office/drawing/2014/chart" uri="{C3380CC4-5D6E-409C-BE32-E72D297353CC}">
              <c16:uniqueId val="{0000000B-F43C-4ADD-8752-38CA94AA8E46}"/>
            </c:ext>
          </c:extLst>
        </c:ser>
        <c:dLbls>
          <c:showLegendKey val="0"/>
          <c:showVal val="0"/>
          <c:showCatName val="0"/>
          <c:showSerName val="0"/>
          <c:showPercent val="0"/>
          <c:showBubbleSize val="0"/>
        </c:dLbls>
        <c:smooth val="0"/>
        <c:axId val="325228416"/>
        <c:axId val="325464064"/>
      </c:lineChart>
      <c:catAx>
        <c:axId val="325228416"/>
        <c:scaling>
          <c:orientation val="minMax"/>
        </c:scaling>
        <c:delete val="0"/>
        <c:axPos val="b"/>
        <c:title>
          <c:tx>
            <c:rich>
              <a:bodyPr/>
              <a:lstStyle/>
              <a:p>
                <a:pPr>
                  <a:defRPr/>
                </a:pPr>
                <a:r>
                  <a:rPr lang="en-US"/>
                  <a:t>Year</a:t>
                </a:r>
              </a:p>
            </c:rich>
          </c:tx>
          <c:overlay val="0"/>
        </c:title>
        <c:numFmt formatCode="0" sourceLinked="1"/>
        <c:majorTickMark val="out"/>
        <c:minorTickMark val="none"/>
        <c:tickLblPos val="nextTo"/>
        <c:crossAx val="325464064"/>
        <c:crosses val="autoZero"/>
        <c:auto val="1"/>
        <c:lblAlgn val="ctr"/>
        <c:lblOffset val="100"/>
        <c:noMultiLvlLbl val="0"/>
      </c:catAx>
      <c:valAx>
        <c:axId val="325464064"/>
        <c:scaling>
          <c:orientation val="minMax"/>
        </c:scaling>
        <c:delete val="0"/>
        <c:axPos val="l"/>
        <c:majorGridlines/>
        <c:title>
          <c:tx>
            <c:rich>
              <a:bodyPr rot="-5400000" vert="horz"/>
              <a:lstStyle/>
              <a:p>
                <a:pPr>
                  <a:defRPr/>
                </a:pPr>
                <a:r>
                  <a:rPr lang="en-US"/>
                  <a:t>Treatment Capacity</a:t>
                </a:r>
              </a:p>
            </c:rich>
          </c:tx>
          <c:overlay val="0"/>
        </c:title>
        <c:numFmt formatCode="0" sourceLinked="1"/>
        <c:majorTickMark val="out"/>
        <c:minorTickMark val="none"/>
        <c:tickLblPos val="nextTo"/>
        <c:crossAx val="325228416"/>
        <c:crosses val="autoZero"/>
        <c:crossBetween val="between"/>
      </c:valAx>
    </c:plotArea>
    <c:legend>
      <c:legendPos val="r"/>
      <c:overlay val="0"/>
      <c:spPr>
        <a:ln w="57150"/>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spcBef>
                <a:spcPts val="1000"/>
              </a:spcBef>
              <a:defRPr/>
            </a:pPr>
            <a:r>
              <a:rPr lang="en-US" sz="1200"/>
              <a:t>Figure  II.2: Total Median Monthly</a:t>
            </a:r>
            <a:r>
              <a:rPr lang="en-US" sz="1200" baseline="0"/>
              <a:t> OUD Patients for Waivered Prescribers by Massaschusetts County, 2011 - 2018</a:t>
            </a:r>
            <a:endParaRPr lang="en-US" sz="1200"/>
          </a:p>
        </c:rich>
      </c:tx>
      <c:layout>
        <c:manualLayout>
          <c:xMode val="edge"/>
          <c:yMode val="edge"/>
          <c:x val="0.13882498453927025"/>
          <c:y val="0"/>
        </c:manualLayout>
      </c:layout>
      <c:overlay val="0"/>
    </c:title>
    <c:autoTitleDeleted val="0"/>
    <c:plotArea>
      <c:layout/>
      <c:lineChart>
        <c:grouping val="standard"/>
        <c:varyColors val="0"/>
        <c:ser>
          <c:idx val="0"/>
          <c:order val="0"/>
          <c:tx>
            <c:strRef>
              <c:f>Sheet1!$H$18</c:f>
              <c:strCache>
                <c:ptCount val="1"/>
                <c:pt idx="0">
                  <c:v>Barnstable</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Sheet1!$I$18:$P$18</c:f>
              <c:numCache>
                <c:formatCode>0</c:formatCode>
                <c:ptCount val="8"/>
                <c:pt idx="0">
                  <c:v>748</c:v>
                </c:pt>
                <c:pt idx="1">
                  <c:v>845</c:v>
                </c:pt>
                <c:pt idx="2">
                  <c:v>723</c:v>
                </c:pt>
                <c:pt idx="3">
                  <c:v>779</c:v>
                </c:pt>
                <c:pt idx="4">
                  <c:v>925</c:v>
                </c:pt>
                <c:pt idx="5">
                  <c:v>1211</c:v>
                </c:pt>
                <c:pt idx="6">
                  <c:v>1413</c:v>
                </c:pt>
                <c:pt idx="7">
                  <c:v>1519</c:v>
                </c:pt>
              </c:numCache>
            </c:numRef>
          </c:val>
          <c:smooth val="0"/>
          <c:extLst>
            <c:ext xmlns:c16="http://schemas.microsoft.com/office/drawing/2014/chart" uri="{C3380CC4-5D6E-409C-BE32-E72D297353CC}">
              <c16:uniqueId val="{00000000-B557-4153-B1D9-A3F8B22BF67A}"/>
            </c:ext>
          </c:extLst>
        </c:ser>
        <c:ser>
          <c:idx val="1"/>
          <c:order val="1"/>
          <c:tx>
            <c:strRef>
              <c:f>Sheet1!$H$19</c:f>
              <c:strCache>
                <c:ptCount val="1"/>
                <c:pt idx="0">
                  <c:v>Berkshire</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Sheet1!$I$19:$P$19</c:f>
              <c:numCache>
                <c:formatCode>0</c:formatCode>
                <c:ptCount val="8"/>
                <c:pt idx="0">
                  <c:v>411</c:v>
                </c:pt>
                <c:pt idx="1">
                  <c:v>311</c:v>
                </c:pt>
                <c:pt idx="2">
                  <c:v>262</c:v>
                </c:pt>
                <c:pt idx="3">
                  <c:v>207</c:v>
                </c:pt>
                <c:pt idx="4">
                  <c:v>324</c:v>
                </c:pt>
                <c:pt idx="5">
                  <c:v>344</c:v>
                </c:pt>
                <c:pt idx="6">
                  <c:v>425</c:v>
                </c:pt>
                <c:pt idx="7">
                  <c:v>605</c:v>
                </c:pt>
              </c:numCache>
            </c:numRef>
          </c:val>
          <c:smooth val="0"/>
          <c:extLst>
            <c:ext xmlns:c16="http://schemas.microsoft.com/office/drawing/2014/chart" uri="{C3380CC4-5D6E-409C-BE32-E72D297353CC}">
              <c16:uniqueId val="{00000001-B557-4153-B1D9-A3F8B22BF67A}"/>
            </c:ext>
          </c:extLst>
        </c:ser>
        <c:ser>
          <c:idx val="2"/>
          <c:order val="2"/>
          <c:tx>
            <c:strRef>
              <c:f>Sheet1!$H$20</c:f>
              <c:strCache>
                <c:ptCount val="1"/>
                <c:pt idx="0">
                  <c:v>Bristol</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Sheet1!$I$20:$P$20</c:f>
              <c:numCache>
                <c:formatCode>0</c:formatCode>
                <c:ptCount val="8"/>
                <c:pt idx="0">
                  <c:v>1571</c:v>
                </c:pt>
                <c:pt idx="1">
                  <c:v>1872</c:v>
                </c:pt>
                <c:pt idx="2">
                  <c:v>1389</c:v>
                </c:pt>
                <c:pt idx="3">
                  <c:v>1324</c:v>
                </c:pt>
                <c:pt idx="4">
                  <c:v>1439</c:v>
                </c:pt>
                <c:pt idx="5">
                  <c:v>1947</c:v>
                </c:pt>
                <c:pt idx="6">
                  <c:v>2353</c:v>
                </c:pt>
                <c:pt idx="7">
                  <c:v>2877</c:v>
                </c:pt>
              </c:numCache>
            </c:numRef>
          </c:val>
          <c:smooth val="0"/>
          <c:extLst>
            <c:ext xmlns:c16="http://schemas.microsoft.com/office/drawing/2014/chart" uri="{C3380CC4-5D6E-409C-BE32-E72D297353CC}">
              <c16:uniqueId val="{00000002-B557-4153-B1D9-A3F8B22BF67A}"/>
            </c:ext>
          </c:extLst>
        </c:ser>
        <c:ser>
          <c:idx val="3"/>
          <c:order val="3"/>
          <c:tx>
            <c:strRef>
              <c:f>Sheet1!$H$21</c:f>
              <c:strCache>
                <c:ptCount val="1"/>
                <c:pt idx="0">
                  <c:v>Essex</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Sheet1!$I$21:$P$21</c:f>
              <c:numCache>
                <c:formatCode>0</c:formatCode>
                <c:ptCount val="8"/>
                <c:pt idx="0">
                  <c:v>1589</c:v>
                </c:pt>
                <c:pt idx="1">
                  <c:v>1751</c:v>
                </c:pt>
                <c:pt idx="2">
                  <c:v>1099</c:v>
                </c:pt>
                <c:pt idx="3">
                  <c:v>907</c:v>
                </c:pt>
                <c:pt idx="4">
                  <c:v>868</c:v>
                </c:pt>
                <c:pt idx="5">
                  <c:v>1302</c:v>
                </c:pt>
                <c:pt idx="6">
                  <c:v>1657</c:v>
                </c:pt>
                <c:pt idx="7">
                  <c:v>2120</c:v>
                </c:pt>
              </c:numCache>
            </c:numRef>
          </c:val>
          <c:smooth val="0"/>
          <c:extLst>
            <c:ext xmlns:c16="http://schemas.microsoft.com/office/drawing/2014/chart" uri="{C3380CC4-5D6E-409C-BE32-E72D297353CC}">
              <c16:uniqueId val="{00000003-B557-4153-B1D9-A3F8B22BF67A}"/>
            </c:ext>
          </c:extLst>
        </c:ser>
        <c:ser>
          <c:idx val="4"/>
          <c:order val="4"/>
          <c:tx>
            <c:strRef>
              <c:f>Sheet1!$H$22</c:f>
              <c:strCache>
                <c:ptCount val="1"/>
                <c:pt idx="0">
                  <c:v>Franklin</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Sheet1!$I$22:$P$22</c:f>
              <c:numCache>
                <c:formatCode>0</c:formatCode>
                <c:ptCount val="8"/>
                <c:pt idx="0">
                  <c:v>130</c:v>
                </c:pt>
                <c:pt idx="1">
                  <c:v>238</c:v>
                </c:pt>
                <c:pt idx="2">
                  <c:v>304</c:v>
                </c:pt>
                <c:pt idx="3">
                  <c:v>366</c:v>
                </c:pt>
                <c:pt idx="4">
                  <c:v>443</c:v>
                </c:pt>
                <c:pt idx="5">
                  <c:v>655</c:v>
                </c:pt>
                <c:pt idx="6">
                  <c:v>646</c:v>
                </c:pt>
                <c:pt idx="7">
                  <c:v>642</c:v>
                </c:pt>
              </c:numCache>
            </c:numRef>
          </c:val>
          <c:smooth val="0"/>
          <c:extLst>
            <c:ext xmlns:c16="http://schemas.microsoft.com/office/drawing/2014/chart" uri="{C3380CC4-5D6E-409C-BE32-E72D297353CC}">
              <c16:uniqueId val="{00000004-B557-4153-B1D9-A3F8B22BF67A}"/>
            </c:ext>
          </c:extLst>
        </c:ser>
        <c:ser>
          <c:idx val="5"/>
          <c:order val="5"/>
          <c:tx>
            <c:strRef>
              <c:f>Sheet1!$H$23</c:f>
              <c:strCache>
                <c:ptCount val="1"/>
                <c:pt idx="0">
                  <c:v>Hampden</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Sheet1!$I$23:$P$23</c:f>
              <c:numCache>
                <c:formatCode>0</c:formatCode>
                <c:ptCount val="8"/>
                <c:pt idx="0">
                  <c:v>1163</c:v>
                </c:pt>
                <c:pt idx="1">
                  <c:v>1464</c:v>
                </c:pt>
                <c:pt idx="2">
                  <c:v>1583</c:v>
                </c:pt>
                <c:pt idx="3">
                  <c:v>1620</c:v>
                </c:pt>
                <c:pt idx="4">
                  <c:v>1819</c:v>
                </c:pt>
                <c:pt idx="5">
                  <c:v>2404</c:v>
                </c:pt>
                <c:pt idx="6">
                  <c:v>2488</c:v>
                </c:pt>
                <c:pt idx="7">
                  <c:v>2525</c:v>
                </c:pt>
              </c:numCache>
            </c:numRef>
          </c:val>
          <c:smooth val="0"/>
          <c:extLst>
            <c:ext xmlns:c16="http://schemas.microsoft.com/office/drawing/2014/chart" uri="{C3380CC4-5D6E-409C-BE32-E72D297353CC}">
              <c16:uniqueId val="{00000005-B557-4153-B1D9-A3F8B22BF67A}"/>
            </c:ext>
          </c:extLst>
        </c:ser>
        <c:ser>
          <c:idx val="6"/>
          <c:order val="6"/>
          <c:tx>
            <c:strRef>
              <c:f>Sheet1!$H$24</c:f>
              <c:strCache>
                <c:ptCount val="1"/>
                <c:pt idx="0">
                  <c:v>Hampshire</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Sheet1!$I$24:$P$24</c:f>
              <c:numCache>
                <c:formatCode>0</c:formatCode>
                <c:ptCount val="8"/>
                <c:pt idx="0">
                  <c:v>803</c:v>
                </c:pt>
                <c:pt idx="1">
                  <c:v>882</c:v>
                </c:pt>
                <c:pt idx="2">
                  <c:v>882</c:v>
                </c:pt>
                <c:pt idx="3">
                  <c:v>1057</c:v>
                </c:pt>
                <c:pt idx="4">
                  <c:v>1185</c:v>
                </c:pt>
                <c:pt idx="5">
                  <c:v>1269</c:v>
                </c:pt>
                <c:pt idx="6">
                  <c:v>1263</c:v>
                </c:pt>
                <c:pt idx="7">
                  <c:v>1302</c:v>
                </c:pt>
              </c:numCache>
            </c:numRef>
          </c:val>
          <c:smooth val="0"/>
          <c:extLst>
            <c:ext xmlns:c16="http://schemas.microsoft.com/office/drawing/2014/chart" uri="{C3380CC4-5D6E-409C-BE32-E72D297353CC}">
              <c16:uniqueId val="{00000006-B557-4153-B1D9-A3F8B22BF67A}"/>
            </c:ext>
          </c:extLst>
        </c:ser>
        <c:ser>
          <c:idx val="7"/>
          <c:order val="7"/>
          <c:tx>
            <c:strRef>
              <c:f>Sheet1!$H$25</c:f>
              <c:strCache>
                <c:ptCount val="1"/>
                <c:pt idx="0">
                  <c:v>Middlesex</c:v>
                </c:pt>
              </c:strCache>
            </c:strRef>
          </c:tx>
          <c:spPr>
            <a:ln w="38100">
              <a:solidFill>
                <a:schemeClr val="accent1"/>
              </a:solidFill>
            </a:ln>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Sheet1!$I$25:$P$25</c:f>
              <c:numCache>
                <c:formatCode>0</c:formatCode>
                <c:ptCount val="8"/>
                <c:pt idx="0">
                  <c:v>2726</c:v>
                </c:pt>
                <c:pt idx="1">
                  <c:v>2955</c:v>
                </c:pt>
                <c:pt idx="2">
                  <c:v>1847</c:v>
                </c:pt>
                <c:pt idx="3">
                  <c:v>1625</c:v>
                </c:pt>
                <c:pt idx="4">
                  <c:v>1632</c:v>
                </c:pt>
                <c:pt idx="5">
                  <c:v>2522</c:v>
                </c:pt>
                <c:pt idx="6">
                  <c:v>3135</c:v>
                </c:pt>
                <c:pt idx="7">
                  <c:v>3951</c:v>
                </c:pt>
              </c:numCache>
            </c:numRef>
          </c:val>
          <c:smooth val="0"/>
          <c:extLst>
            <c:ext xmlns:c16="http://schemas.microsoft.com/office/drawing/2014/chart" uri="{C3380CC4-5D6E-409C-BE32-E72D297353CC}">
              <c16:uniqueId val="{00000007-B557-4153-B1D9-A3F8B22BF67A}"/>
            </c:ext>
          </c:extLst>
        </c:ser>
        <c:ser>
          <c:idx val="8"/>
          <c:order val="8"/>
          <c:tx>
            <c:strRef>
              <c:f>Sheet1!$H$26</c:f>
              <c:strCache>
                <c:ptCount val="1"/>
                <c:pt idx="0">
                  <c:v>Norfolk</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Sheet1!$I$26:$P$26</c:f>
              <c:numCache>
                <c:formatCode>0</c:formatCode>
                <c:ptCount val="8"/>
                <c:pt idx="0">
                  <c:v>1190</c:v>
                </c:pt>
                <c:pt idx="1">
                  <c:v>1313</c:v>
                </c:pt>
                <c:pt idx="2">
                  <c:v>943</c:v>
                </c:pt>
                <c:pt idx="3">
                  <c:v>979</c:v>
                </c:pt>
                <c:pt idx="4">
                  <c:v>1256</c:v>
                </c:pt>
                <c:pt idx="5">
                  <c:v>1532</c:v>
                </c:pt>
                <c:pt idx="6">
                  <c:v>1777</c:v>
                </c:pt>
                <c:pt idx="7">
                  <c:v>2500</c:v>
                </c:pt>
              </c:numCache>
            </c:numRef>
          </c:val>
          <c:smooth val="0"/>
          <c:extLst>
            <c:ext xmlns:c16="http://schemas.microsoft.com/office/drawing/2014/chart" uri="{C3380CC4-5D6E-409C-BE32-E72D297353CC}">
              <c16:uniqueId val="{00000008-B557-4153-B1D9-A3F8B22BF67A}"/>
            </c:ext>
          </c:extLst>
        </c:ser>
        <c:ser>
          <c:idx val="9"/>
          <c:order val="9"/>
          <c:tx>
            <c:strRef>
              <c:f>Sheet1!$H$27</c:f>
              <c:strCache>
                <c:ptCount val="1"/>
                <c:pt idx="0">
                  <c:v>Plymouth</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Sheet1!$I$27:$P$27</c:f>
              <c:numCache>
                <c:formatCode>0</c:formatCode>
                <c:ptCount val="8"/>
                <c:pt idx="0">
                  <c:v>874</c:v>
                </c:pt>
                <c:pt idx="1">
                  <c:v>986</c:v>
                </c:pt>
                <c:pt idx="2">
                  <c:v>559</c:v>
                </c:pt>
                <c:pt idx="3">
                  <c:v>613</c:v>
                </c:pt>
                <c:pt idx="4">
                  <c:v>686</c:v>
                </c:pt>
                <c:pt idx="5">
                  <c:v>952</c:v>
                </c:pt>
                <c:pt idx="6">
                  <c:v>1082</c:v>
                </c:pt>
                <c:pt idx="7">
                  <c:v>1181</c:v>
                </c:pt>
              </c:numCache>
            </c:numRef>
          </c:val>
          <c:smooth val="0"/>
          <c:extLst>
            <c:ext xmlns:c16="http://schemas.microsoft.com/office/drawing/2014/chart" uri="{C3380CC4-5D6E-409C-BE32-E72D297353CC}">
              <c16:uniqueId val="{00000009-B557-4153-B1D9-A3F8B22BF67A}"/>
            </c:ext>
          </c:extLst>
        </c:ser>
        <c:ser>
          <c:idx val="10"/>
          <c:order val="10"/>
          <c:tx>
            <c:strRef>
              <c:f>Sheet1!$H$28</c:f>
              <c:strCache>
                <c:ptCount val="1"/>
                <c:pt idx="0">
                  <c:v>Suffolk</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Sheet1!$I$28:$P$28</c:f>
              <c:numCache>
                <c:formatCode>0</c:formatCode>
                <c:ptCount val="8"/>
                <c:pt idx="0">
                  <c:v>1831</c:v>
                </c:pt>
                <c:pt idx="1">
                  <c:v>2157</c:v>
                </c:pt>
                <c:pt idx="2">
                  <c:v>1048</c:v>
                </c:pt>
                <c:pt idx="3">
                  <c:v>932</c:v>
                </c:pt>
                <c:pt idx="4">
                  <c:v>1065</c:v>
                </c:pt>
                <c:pt idx="5">
                  <c:v>1947</c:v>
                </c:pt>
                <c:pt idx="6">
                  <c:v>2583</c:v>
                </c:pt>
                <c:pt idx="7">
                  <c:v>3653</c:v>
                </c:pt>
              </c:numCache>
            </c:numRef>
          </c:val>
          <c:smooth val="0"/>
          <c:extLst>
            <c:ext xmlns:c16="http://schemas.microsoft.com/office/drawing/2014/chart" uri="{C3380CC4-5D6E-409C-BE32-E72D297353CC}">
              <c16:uniqueId val="{0000000A-B557-4153-B1D9-A3F8B22BF67A}"/>
            </c:ext>
          </c:extLst>
        </c:ser>
        <c:ser>
          <c:idx val="11"/>
          <c:order val="11"/>
          <c:tx>
            <c:strRef>
              <c:f>Sheet1!$H$29</c:f>
              <c:strCache>
                <c:ptCount val="1"/>
                <c:pt idx="0">
                  <c:v>Worcester</c:v>
                </c:pt>
              </c:strCache>
            </c:strRef>
          </c:tx>
          <c:spPr>
            <a:ln w="38100"/>
          </c:spPr>
          <c:marker>
            <c:symbol val="none"/>
          </c:marker>
          <c:cat>
            <c:numRef>
              <c:f>Sheet1!$I$17:$P$17</c:f>
              <c:numCache>
                <c:formatCode>0</c:formatCode>
                <c:ptCount val="8"/>
                <c:pt idx="0">
                  <c:v>2011</c:v>
                </c:pt>
                <c:pt idx="1">
                  <c:v>2012</c:v>
                </c:pt>
                <c:pt idx="2">
                  <c:v>2013</c:v>
                </c:pt>
                <c:pt idx="3">
                  <c:v>2014</c:v>
                </c:pt>
                <c:pt idx="4">
                  <c:v>2015</c:v>
                </c:pt>
                <c:pt idx="5">
                  <c:v>2016</c:v>
                </c:pt>
                <c:pt idx="6">
                  <c:v>2017</c:v>
                </c:pt>
                <c:pt idx="7">
                  <c:v>2018</c:v>
                </c:pt>
              </c:numCache>
            </c:numRef>
          </c:cat>
          <c:val>
            <c:numRef>
              <c:f>Sheet1!$I$29:$P$29</c:f>
              <c:numCache>
                <c:formatCode>0</c:formatCode>
                <c:ptCount val="8"/>
                <c:pt idx="0">
                  <c:v>1669</c:v>
                </c:pt>
                <c:pt idx="1">
                  <c:v>2345</c:v>
                </c:pt>
                <c:pt idx="2">
                  <c:v>1573</c:v>
                </c:pt>
                <c:pt idx="3">
                  <c:v>1422</c:v>
                </c:pt>
                <c:pt idx="4">
                  <c:v>1510</c:v>
                </c:pt>
                <c:pt idx="5">
                  <c:v>2177</c:v>
                </c:pt>
                <c:pt idx="6">
                  <c:v>2401</c:v>
                </c:pt>
                <c:pt idx="7">
                  <c:v>3063</c:v>
                </c:pt>
              </c:numCache>
            </c:numRef>
          </c:val>
          <c:smooth val="0"/>
          <c:extLst>
            <c:ext xmlns:c16="http://schemas.microsoft.com/office/drawing/2014/chart" uri="{C3380CC4-5D6E-409C-BE32-E72D297353CC}">
              <c16:uniqueId val="{0000000B-B557-4153-B1D9-A3F8B22BF67A}"/>
            </c:ext>
          </c:extLst>
        </c:ser>
        <c:dLbls>
          <c:showLegendKey val="0"/>
          <c:showVal val="0"/>
          <c:showCatName val="0"/>
          <c:showSerName val="0"/>
          <c:showPercent val="0"/>
          <c:showBubbleSize val="0"/>
        </c:dLbls>
        <c:smooth val="0"/>
        <c:axId val="327931008"/>
        <c:axId val="327932928"/>
      </c:lineChart>
      <c:catAx>
        <c:axId val="327931008"/>
        <c:scaling>
          <c:orientation val="minMax"/>
        </c:scaling>
        <c:delete val="0"/>
        <c:axPos val="b"/>
        <c:title>
          <c:tx>
            <c:rich>
              <a:bodyPr/>
              <a:lstStyle/>
              <a:p>
                <a:pPr>
                  <a:defRPr/>
                </a:pPr>
                <a:r>
                  <a:rPr lang="en-US"/>
                  <a:t>Year</a:t>
                </a:r>
              </a:p>
            </c:rich>
          </c:tx>
          <c:overlay val="0"/>
        </c:title>
        <c:numFmt formatCode="0" sourceLinked="1"/>
        <c:majorTickMark val="out"/>
        <c:minorTickMark val="none"/>
        <c:tickLblPos val="nextTo"/>
        <c:crossAx val="327932928"/>
        <c:crosses val="autoZero"/>
        <c:auto val="1"/>
        <c:lblAlgn val="ctr"/>
        <c:lblOffset val="100"/>
        <c:noMultiLvlLbl val="0"/>
      </c:catAx>
      <c:valAx>
        <c:axId val="327932928"/>
        <c:scaling>
          <c:orientation val="minMax"/>
        </c:scaling>
        <c:delete val="0"/>
        <c:axPos val="l"/>
        <c:majorGridlines/>
        <c:title>
          <c:tx>
            <c:rich>
              <a:bodyPr rot="-5400000" vert="horz"/>
              <a:lstStyle/>
              <a:p>
                <a:pPr>
                  <a:defRPr/>
                </a:pPr>
                <a:r>
                  <a:rPr lang="en-US"/>
                  <a:t>Total Median Monthly</a:t>
                </a:r>
                <a:r>
                  <a:rPr lang="en-US" baseline="0"/>
                  <a:t> Patients</a:t>
                </a:r>
                <a:endParaRPr lang="en-US"/>
              </a:p>
            </c:rich>
          </c:tx>
          <c:overlay val="0"/>
        </c:title>
        <c:numFmt formatCode="0" sourceLinked="1"/>
        <c:majorTickMark val="out"/>
        <c:minorTickMark val="none"/>
        <c:tickLblPos val="nextTo"/>
        <c:crossAx val="327931008"/>
        <c:crosses val="autoZero"/>
        <c:crossBetween val="between"/>
      </c:valAx>
    </c:plotArea>
    <c:legend>
      <c:legendPos val="r"/>
      <c:layout>
        <c:manualLayout>
          <c:xMode val="edge"/>
          <c:yMode val="edge"/>
          <c:x val="0.82677128581344139"/>
          <c:y val="0.26582326309468385"/>
          <c:w val="0.17322871418655855"/>
          <c:h val="0.6817893650183187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spcBef>
                <a:spcPts val="600"/>
              </a:spcBef>
              <a:defRPr/>
            </a:pPr>
            <a:r>
              <a:rPr lang="en-US" sz="1200"/>
              <a:t>Figure II.3: Access to OUD Treatment in Massachusetts Counties, 2011 - 2018</a:t>
            </a:r>
          </a:p>
        </c:rich>
      </c:tx>
      <c:layout>
        <c:manualLayout>
          <c:xMode val="edge"/>
          <c:yMode val="edge"/>
          <c:x val="0.13077898916481592"/>
          <c:y val="1.2107399906383095E-2"/>
        </c:manualLayout>
      </c:layout>
      <c:overlay val="0"/>
    </c:title>
    <c:autoTitleDeleted val="0"/>
    <c:plotArea>
      <c:layout/>
      <c:lineChart>
        <c:grouping val="standard"/>
        <c:varyColors val="0"/>
        <c:ser>
          <c:idx val="0"/>
          <c:order val="0"/>
          <c:tx>
            <c:strRef>
              <c:f>Sheet1!$H$3</c:f>
              <c:strCache>
                <c:ptCount val="1"/>
                <c:pt idx="0">
                  <c:v>Barnstable</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Sheet1!$I$3:$P$3</c:f>
              <c:numCache>
                <c:formatCode>0.00</c:formatCode>
                <c:ptCount val="8"/>
                <c:pt idx="0">
                  <c:v>0.46750000000000003</c:v>
                </c:pt>
                <c:pt idx="1">
                  <c:v>0.47206703910614523</c:v>
                </c:pt>
                <c:pt idx="2">
                  <c:v>0.33785046728971962</c:v>
                </c:pt>
                <c:pt idx="3">
                  <c:v>0.2950757575757576</c:v>
                </c:pt>
                <c:pt idx="4">
                  <c:v>0.28549382716049382</c:v>
                </c:pt>
                <c:pt idx="5">
                  <c:v>0.2111595466434176</c:v>
                </c:pt>
                <c:pt idx="6">
                  <c:v>0.19172320217096336</c:v>
                </c:pt>
                <c:pt idx="7">
                  <c:v>0.17105855855855856</c:v>
                </c:pt>
              </c:numCache>
            </c:numRef>
          </c:val>
          <c:smooth val="0"/>
          <c:extLst>
            <c:ext xmlns:c16="http://schemas.microsoft.com/office/drawing/2014/chart" uri="{C3380CC4-5D6E-409C-BE32-E72D297353CC}">
              <c16:uniqueId val="{00000000-A930-4A89-8B6D-2DD6A4E2DECB}"/>
            </c:ext>
          </c:extLst>
        </c:ser>
        <c:ser>
          <c:idx val="1"/>
          <c:order val="1"/>
          <c:tx>
            <c:strRef>
              <c:f>Sheet1!$H$4</c:f>
              <c:strCache>
                <c:ptCount val="1"/>
                <c:pt idx="0">
                  <c:v>Berkshire</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Sheet1!$I$4:$P$4</c:f>
              <c:numCache>
                <c:formatCode>0.00</c:formatCode>
                <c:ptCount val="8"/>
                <c:pt idx="0">
                  <c:v>0.33145161290322583</c:v>
                </c:pt>
                <c:pt idx="1">
                  <c:v>0.19935897435897437</c:v>
                </c:pt>
                <c:pt idx="2">
                  <c:v>0.15595238095238095</c:v>
                </c:pt>
                <c:pt idx="3">
                  <c:v>0.10561224489795919</c:v>
                </c:pt>
                <c:pt idx="4">
                  <c:v>0.13728813559322034</c:v>
                </c:pt>
                <c:pt idx="5">
                  <c:v>0.10471841704718417</c:v>
                </c:pt>
                <c:pt idx="6">
                  <c:v>0.11125654450261781</c:v>
                </c:pt>
                <c:pt idx="7">
                  <c:v>0.12334352701325178</c:v>
                </c:pt>
              </c:numCache>
            </c:numRef>
          </c:val>
          <c:smooth val="0"/>
          <c:extLst>
            <c:ext xmlns:c16="http://schemas.microsoft.com/office/drawing/2014/chart" uri="{C3380CC4-5D6E-409C-BE32-E72D297353CC}">
              <c16:uniqueId val="{00000001-A930-4A89-8B6D-2DD6A4E2DECB}"/>
            </c:ext>
          </c:extLst>
        </c:ser>
        <c:ser>
          <c:idx val="2"/>
          <c:order val="2"/>
          <c:tx>
            <c:strRef>
              <c:f>Sheet1!$H$5</c:f>
              <c:strCache>
                <c:ptCount val="1"/>
                <c:pt idx="0">
                  <c:v>Bristol</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Sheet1!$I$5:$P$5</c:f>
              <c:numCache>
                <c:formatCode>0.00</c:formatCode>
                <c:ptCount val="8"/>
                <c:pt idx="0">
                  <c:v>0.44253521126760564</c:v>
                </c:pt>
                <c:pt idx="1">
                  <c:v>0.47035175879396984</c:v>
                </c:pt>
                <c:pt idx="2">
                  <c:v>0.3026143790849673</c:v>
                </c:pt>
                <c:pt idx="3">
                  <c:v>0.25363984674329504</c:v>
                </c:pt>
                <c:pt idx="4">
                  <c:v>0.21130690161527166</c:v>
                </c:pt>
                <c:pt idx="5">
                  <c:v>0.21430930104567969</c:v>
                </c:pt>
                <c:pt idx="6">
                  <c:v>0.19974533106960951</c:v>
                </c:pt>
                <c:pt idx="7">
                  <c:v>0.18094339622641509</c:v>
                </c:pt>
              </c:numCache>
            </c:numRef>
          </c:val>
          <c:smooth val="0"/>
          <c:extLst>
            <c:ext xmlns:c16="http://schemas.microsoft.com/office/drawing/2014/chart" uri="{C3380CC4-5D6E-409C-BE32-E72D297353CC}">
              <c16:uniqueId val="{00000002-A930-4A89-8B6D-2DD6A4E2DECB}"/>
            </c:ext>
          </c:extLst>
        </c:ser>
        <c:ser>
          <c:idx val="3"/>
          <c:order val="3"/>
          <c:tx>
            <c:strRef>
              <c:f>Sheet1!$H$6</c:f>
              <c:strCache>
                <c:ptCount val="1"/>
                <c:pt idx="0">
                  <c:v>Essex</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Sheet1!$I$6:$P$6</c:f>
              <c:numCache>
                <c:formatCode>0.00</c:formatCode>
                <c:ptCount val="8"/>
                <c:pt idx="0">
                  <c:v>0.34618736383442267</c:v>
                </c:pt>
                <c:pt idx="1">
                  <c:v>0.33162878787878786</c:v>
                </c:pt>
                <c:pt idx="2">
                  <c:v>0.1781199351701783</c:v>
                </c:pt>
                <c:pt idx="3">
                  <c:v>0.12883522727272728</c:v>
                </c:pt>
                <c:pt idx="4">
                  <c:v>0.10973451327433628</c:v>
                </c:pt>
                <c:pt idx="5">
                  <c:v>0.11496688741721854</c:v>
                </c:pt>
                <c:pt idx="6">
                  <c:v>0.118484090096532</c:v>
                </c:pt>
                <c:pt idx="7">
                  <c:v>0.10843989769820972</c:v>
                </c:pt>
              </c:numCache>
            </c:numRef>
          </c:val>
          <c:smooth val="0"/>
          <c:extLst>
            <c:ext xmlns:c16="http://schemas.microsoft.com/office/drawing/2014/chart" uri="{C3380CC4-5D6E-409C-BE32-E72D297353CC}">
              <c16:uniqueId val="{00000003-A930-4A89-8B6D-2DD6A4E2DECB}"/>
            </c:ext>
          </c:extLst>
        </c:ser>
        <c:ser>
          <c:idx val="4"/>
          <c:order val="4"/>
          <c:tx>
            <c:strRef>
              <c:f>Sheet1!$H$7</c:f>
              <c:strCache>
                <c:ptCount val="1"/>
                <c:pt idx="0">
                  <c:v>Franklin</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Sheet1!$I$7:$P$7</c:f>
              <c:numCache>
                <c:formatCode>0.00</c:formatCode>
                <c:ptCount val="8"/>
                <c:pt idx="0">
                  <c:v>0.18840579710144928</c:v>
                </c:pt>
                <c:pt idx="1">
                  <c:v>0.29024390243902437</c:v>
                </c:pt>
                <c:pt idx="2">
                  <c:v>0.33043478260869563</c:v>
                </c:pt>
                <c:pt idx="3">
                  <c:v>0.31826086956521737</c:v>
                </c:pt>
                <c:pt idx="4">
                  <c:v>0.28037974683544303</c:v>
                </c:pt>
                <c:pt idx="5">
                  <c:v>0.28982300884955753</c:v>
                </c:pt>
                <c:pt idx="6">
                  <c:v>0.20671999999999999</c:v>
                </c:pt>
                <c:pt idx="7">
                  <c:v>0.15213270142180094</c:v>
                </c:pt>
              </c:numCache>
            </c:numRef>
          </c:val>
          <c:smooth val="0"/>
          <c:extLst>
            <c:ext xmlns:c16="http://schemas.microsoft.com/office/drawing/2014/chart" uri="{C3380CC4-5D6E-409C-BE32-E72D297353CC}">
              <c16:uniqueId val="{00000004-A930-4A89-8B6D-2DD6A4E2DECB}"/>
            </c:ext>
          </c:extLst>
        </c:ser>
        <c:ser>
          <c:idx val="5"/>
          <c:order val="5"/>
          <c:tx>
            <c:strRef>
              <c:f>Sheet1!$H$8</c:f>
              <c:strCache>
                <c:ptCount val="1"/>
                <c:pt idx="0">
                  <c:v>Hampden</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Sheet1!$I$8:$P$8</c:f>
              <c:numCache>
                <c:formatCode>0.00</c:formatCode>
                <c:ptCount val="8"/>
                <c:pt idx="0">
                  <c:v>0.35565749235474003</c:v>
                </c:pt>
                <c:pt idx="1">
                  <c:v>0.35192307692307695</c:v>
                </c:pt>
                <c:pt idx="2">
                  <c:v>0.35895691609977326</c:v>
                </c:pt>
                <c:pt idx="3">
                  <c:v>0.30508474576271188</c:v>
                </c:pt>
                <c:pt idx="4">
                  <c:v>0.27984615384615386</c:v>
                </c:pt>
                <c:pt idx="5">
                  <c:v>0.24886128364389234</c:v>
                </c:pt>
                <c:pt idx="6">
                  <c:v>0.19927913496195435</c:v>
                </c:pt>
                <c:pt idx="7">
                  <c:v>0.1599619892302819</c:v>
                </c:pt>
              </c:numCache>
            </c:numRef>
          </c:val>
          <c:smooth val="0"/>
          <c:extLst>
            <c:ext xmlns:c16="http://schemas.microsoft.com/office/drawing/2014/chart" uri="{C3380CC4-5D6E-409C-BE32-E72D297353CC}">
              <c16:uniqueId val="{00000005-A930-4A89-8B6D-2DD6A4E2DECB}"/>
            </c:ext>
          </c:extLst>
        </c:ser>
        <c:ser>
          <c:idx val="6"/>
          <c:order val="6"/>
          <c:tx>
            <c:strRef>
              <c:f>Sheet1!$H$9</c:f>
              <c:strCache>
                <c:ptCount val="1"/>
                <c:pt idx="0">
                  <c:v>Hampshire</c:v>
                </c:pt>
              </c:strCache>
            </c:strRef>
          </c:tx>
          <c:spPr>
            <a:ln w="38100">
              <a:solidFill>
                <a:schemeClr val="accent1"/>
              </a:solidFill>
            </a:ln>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Sheet1!$I$9:$P$9</c:f>
              <c:numCache>
                <c:formatCode>0.00</c:formatCode>
                <c:ptCount val="8"/>
                <c:pt idx="0">
                  <c:v>0.38605769230769232</c:v>
                </c:pt>
                <c:pt idx="1">
                  <c:v>0.38181818181818183</c:v>
                </c:pt>
                <c:pt idx="2">
                  <c:v>0.35853658536585364</c:v>
                </c:pt>
                <c:pt idx="3">
                  <c:v>0.34769736842105264</c:v>
                </c:pt>
                <c:pt idx="4">
                  <c:v>0.29924242424242425</c:v>
                </c:pt>
                <c:pt idx="5">
                  <c:v>0.238758231420508</c:v>
                </c:pt>
                <c:pt idx="6">
                  <c:v>0.19581395348837211</c:v>
                </c:pt>
                <c:pt idx="7">
                  <c:v>0.15611510791366906</c:v>
                </c:pt>
              </c:numCache>
            </c:numRef>
          </c:val>
          <c:smooth val="0"/>
          <c:extLst>
            <c:ext xmlns:c16="http://schemas.microsoft.com/office/drawing/2014/chart" uri="{C3380CC4-5D6E-409C-BE32-E72D297353CC}">
              <c16:uniqueId val="{00000006-A930-4A89-8B6D-2DD6A4E2DECB}"/>
            </c:ext>
          </c:extLst>
        </c:ser>
        <c:ser>
          <c:idx val="7"/>
          <c:order val="7"/>
          <c:tx>
            <c:strRef>
              <c:f>Sheet1!$H$10</c:f>
              <c:strCache>
                <c:ptCount val="1"/>
                <c:pt idx="0">
                  <c:v>Middlesex</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Sheet1!$I$10:$P$10</c:f>
              <c:numCache>
                <c:formatCode>0.00</c:formatCode>
                <c:ptCount val="8"/>
                <c:pt idx="0">
                  <c:v>0.26857142857142857</c:v>
                </c:pt>
                <c:pt idx="1">
                  <c:v>0.26243339253996445</c:v>
                </c:pt>
                <c:pt idx="2">
                  <c:v>0.14717131474103587</c:v>
                </c:pt>
                <c:pt idx="3">
                  <c:v>0.11673850574712644</c:v>
                </c:pt>
                <c:pt idx="4">
                  <c:v>0.10329113924050633</c:v>
                </c:pt>
                <c:pt idx="5">
                  <c:v>0.10009922603691208</c:v>
                </c:pt>
                <c:pt idx="6">
                  <c:v>0.10125968992248062</c:v>
                </c:pt>
                <c:pt idx="7">
                  <c:v>0.10225155279503105</c:v>
                </c:pt>
              </c:numCache>
            </c:numRef>
          </c:val>
          <c:smooth val="0"/>
          <c:extLst>
            <c:ext xmlns:c16="http://schemas.microsoft.com/office/drawing/2014/chart" uri="{C3380CC4-5D6E-409C-BE32-E72D297353CC}">
              <c16:uniqueId val="{00000007-A930-4A89-8B6D-2DD6A4E2DECB}"/>
            </c:ext>
          </c:extLst>
        </c:ser>
        <c:ser>
          <c:idx val="8"/>
          <c:order val="8"/>
          <c:tx>
            <c:strRef>
              <c:f>Sheet1!$H$11</c:f>
              <c:strCache>
                <c:ptCount val="1"/>
                <c:pt idx="0">
                  <c:v>Norfolk</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Sheet1!$I$11:$P$11</c:f>
              <c:numCache>
                <c:formatCode>0.00</c:formatCode>
                <c:ptCount val="8"/>
                <c:pt idx="0">
                  <c:v>0.32602739726027397</c:v>
                </c:pt>
                <c:pt idx="1">
                  <c:v>0.30534883720930234</c:v>
                </c:pt>
                <c:pt idx="2">
                  <c:v>0.18275193798449613</c:v>
                </c:pt>
                <c:pt idx="3">
                  <c:v>0.16075533661740557</c:v>
                </c:pt>
                <c:pt idx="4">
                  <c:v>0.16418300653594772</c:v>
                </c:pt>
                <c:pt idx="5">
                  <c:v>0.13611728120835184</c:v>
                </c:pt>
                <c:pt idx="6">
                  <c:v>0.13124076809453472</c:v>
                </c:pt>
                <c:pt idx="7">
                  <c:v>0.14654161781946073</c:v>
                </c:pt>
              </c:numCache>
            </c:numRef>
          </c:val>
          <c:smooth val="0"/>
          <c:extLst>
            <c:ext xmlns:c16="http://schemas.microsoft.com/office/drawing/2014/chart" uri="{C3380CC4-5D6E-409C-BE32-E72D297353CC}">
              <c16:uniqueId val="{00000008-A930-4A89-8B6D-2DD6A4E2DECB}"/>
            </c:ext>
          </c:extLst>
        </c:ser>
        <c:ser>
          <c:idx val="9"/>
          <c:order val="9"/>
          <c:tx>
            <c:strRef>
              <c:f>Sheet1!$H$12</c:f>
              <c:strCache>
                <c:ptCount val="1"/>
                <c:pt idx="0">
                  <c:v>Plymouth</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Sheet1!$I$12:$P$12</c:f>
              <c:numCache>
                <c:formatCode>0.00</c:formatCode>
                <c:ptCount val="8"/>
                <c:pt idx="0">
                  <c:v>0.36265560165975103</c:v>
                </c:pt>
                <c:pt idx="1">
                  <c:v>0.35340501792114698</c:v>
                </c:pt>
                <c:pt idx="2">
                  <c:v>0.17634069400630914</c:v>
                </c:pt>
                <c:pt idx="3">
                  <c:v>0.17871720116618076</c:v>
                </c:pt>
                <c:pt idx="4">
                  <c:v>0.15916473317865429</c:v>
                </c:pt>
                <c:pt idx="5">
                  <c:v>0.16190476190476191</c:v>
                </c:pt>
                <c:pt idx="6">
                  <c:v>0.15048678720445063</c:v>
                </c:pt>
                <c:pt idx="7">
                  <c:v>0.12624265098877605</c:v>
                </c:pt>
              </c:numCache>
            </c:numRef>
          </c:val>
          <c:smooth val="0"/>
          <c:extLst>
            <c:ext xmlns:c16="http://schemas.microsoft.com/office/drawing/2014/chart" uri="{C3380CC4-5D6E-409C-BE32-E72D297353CC}">
              <c16:uniqueId val="{00000009-A930-4A89-8B6D-2DD6A4E2DECB}"/>
            </c:ext>
          </c:extLst>
        </c:ser>
        <c:ser>
          <c:idx val="10"/>
          <c:order val="10"/>
          <c:tx>
            <c:strRef>
              <c:f>Sheet1!$H$13</c:f>
              <c:strCache>
                <c:ptCount val="1"/>
                <c:pt idx="0">
                  <c:v>Suffolk</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Sheet1!$I$13:$P$13</c:f>
              <c:numCache>
                <c:formatCode>0.00</c:formatCode>
                <c:ptCount val="8"/>
                <c:pt idx="0">
                  <c:v>0.18402010050251255</c:v>
                </c:pt>
                <c:pt idx="1">
                  <c:v>0.18740225890529974</c:v>
                </c:pt>
                <c:pt idx="2">
                  <c:v>7.757216876387861E-2</c:v>
                </c:pt>
                <c:pt idx="3">
                  <c:v>5.9781911481719047E-2</c:v>
                </c:pt>
                <c:pt idx="4">
                  <c:v>5.6319407720782658E-2</c:v>
                </c:pt>
                <c:pt idx="5">
                  <c:v>7.2717086834733893E-2</c:v>
                </c:pt>
                <c:pt idx="6">
                  <c:v>7.4847870182555787E-2</c:v>
                </c:pt>
                <c:pt idx="7">
                  <c:v>7.5381758151052414E-2</c:v>
                </c:pt>
              </c:numCache>
            </c:numRef>
          </c:val>
          <c:smooth val="0"/>
          <c:extLst>
            <c:ext xmlns:c16="http://schemas.microsoft.com/office/drawing/2014/chart" uri="{C3380CC4-5D6E-409C-BE32-E72D297353CC}">
              <c16:uniqueId val="{0000000A-A930-4A89-8B6D-2DD6A4E2DECB}"/>
            </c:ext>
          </c:extLst>
        </c:ser>
        <c:ser>
          <c:idx val="11"/>
          <c:order val="11"/>
          <c:tx>
            <c:strRef>
              <c:f>Sheet1!$H$14</c:f>
              <c:strCache>
                <c:ptCount val="1"/>
                <c:pt idx="0">
                  <c:v>Worcester</c:v>
                </c:pt>
              </c:strCache>
            </c:strRef>
          </c:tx>
          <c:spPr>
            <a:ln w="38100"/>
          </c:spPr>
          <c:marker>
            <c:symbol val="none"/>
          </c:marker>
          <c:cat>
            <c:numRef>
              <c:f>Sheet1!$I$2:$P$2</c:f>
              <c:numCache>
                <c:formatCode>0</c:formatCode>
                <c:ptCount val="8"/>
                <c:pt idx="0">
                  <c:v>2011</c:v>
                </c:pt>
                <c:pt idx="1">
                  <c:v>2012</c:v>
                </c:pt>
                <c:pt idx="2">
                  <c:v>2013</c:v>
                </c:pt>
                <c:pt idx="3">
                  <c:v>2014</c:v>
                </c:pt>
                <c:pt idx="4">
                  <c:v>2015</c:v>
                </c:pt>
                <c:pt idx="5">
                  <c:v>2016</c:v>
                </c:pt>
                <c:pt idx="6">
                  <c:v>2017</c:v>
                </c:pt>
                <c:pt idx="7">
                  <c:v>2018</c:v>
                </c:pt>
              </c:numCache>
            </c:numRef>
          </c:cat>
          <c:val>
            <c:numRef>
              <c:f>Sheet1!$I$14:$P$14</c:f>
              <c:numCache>
                <c:formatCode>0.00</c:formatCode>
                <c:ptCount val="8"/>
                <c:pt idx="0">
                  <c:v>0.31912045889101337</c:v>
                </c:pt>
                <c:pt idx="1">
                  <c:v>0.38192182410423453</c:v>
                </c:pt>
                <c:pt idx="2">
                  <c:v>0.21726519337016575</c:v>
                </c:pt>
                <c:pt idx="3">
                  <c:v>0.17257281553398057</c:v>
                </c:pt>
                <c:pt idx="4">
                  <c:v>0.151</c:v>
                </c:pt>
                <c:pt idx="5">
                  <c:v>0.14228758169934641</c:v>
                </c:pt>
                <c:pt idx="6">
                  <c:v>0.128258547008547</c:v>
                </c:pt>
                <c:pt idx="7">
                  <c:v>0.13698568872987477</c:v>
                </c:pt>
              </c:numCache>
            </c:numRef>
          </c:val>
          <c:smooth val="0"/>
          <c:extLst>
            <c:ext xmlns:c16="http://schemas.microsoft.com/office/drawing/2014/chart" uri="{C3380CC4-5D6E-409C-BE32-E72D297353CC}">
              <c16:uniqueId val="{0000000B-A930-4A89-8B6D-2DD6A4E2DECB}"/>
            </c:ext>
          </c:extLst>
        </c:ser>
        <c:dLbls>
          <c:showLegendKey val="0"/>
          <c:showVal val="0"/>
          <c:showCatName val="0"/>
          <c:showSerName val="0"/>
          <c:showPercent val="0"/>
          <c:showBubbleSize val="0"/>
        </c:dLbls>
        <c:smooth val="0"/>
        <c:axId val="334090624"/>
        <c:axId val="334092544"/>
      </c:lineChart>
      <c:catAx>
        <c:axId val="334090624"/>
        <c:scaling>
          <c:orientation val="minMax"/>
        </c:scaling>
        <c:delete val="0"/>
        <c:axPos val="b"/>
        <c:title>
          <c:tx>
            <c:rich>
              <a:bodyPr/>
              <a:lstStyle/>
              <a:p>
                <a:pPr>
                  <a:defRPr/>
                </a:pPr>
                <a:r>
                  <a:rPr lang="en-US"/>
                  <a:t>Year</a:t>
                </a:r>
              </a:p>
            </c:rich>
          </c:tx>
          <c:overlay val="0"/>
        </c:title>
        <c:numFmt formatCode="0" sourceLinked="1"/>
        <c:majorTickMark val="out"/>
        <c:minorTickMark val="none"/>
        <c:tickLblPos val="nextTo"/>
        <c:crossAx val="334092544"/>
        <c:crosses val="autoZero"/>
        <c:auto val="1"/>
        <c:lblAlgn val="ctr"/>
        <c:lblOffset val="100"/>
        <c:noMultiLvlLbl val="0"/>
      </c:catAx>
      <c:valAx>
        <c:axId val="334092544"/>
        <c:scaling>
          <c:orientation val="minMax"/>
        </c:scaling>
        <c:delete val="0"/>
        <c:axPos val="l"/>
        <c:majorGridlines/>
        <c:title>
          <c:tx>
            <c:rich>
              <a:bodyPr rot="-5400000" vert="horz"/>
              <a:lstStyle/>
              <a:p>
                <a:pPr>
                  <a:defRPr/>
                </a:pPr>
                <a:r>
                  <a:rPr lang="en-US"/>
                  <a:t>Access to Treatment</a:t>
                </a:r>
              </a:p>
            </c:rich>
          </c:tx>
          <c:overlay val="0"/>
        </c:title>
        <c:numFmt formatCode="0.00" sourceLinked="1"/>
        <c:majorTickMark val="out"/>
        <c:minorTickMark val="none"/>
        <c:tickLblPos val="nextTo"/>
        <c:crossAx val="3340906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IV.1a: Diffusion of the Buprenorphine-waiver for 30 Patients in Massachusetts, 2002 - 2019</a:t>
            </a:r>
          </a:p>
        </c:rich>
      </c:tx>
      <c:layout>
        <c:manualLayout>
          <c:xMode val="edge"/>
          <c:yMode val="edge"/>
          <c:x val="0.12250025418271783"/>
          <c:y val="0"/>
        </c:manualLayout>
      </c:layout>
      <c:overlay val="0"/>
    </c:title>
    <c:autoTitleDeleted val="0"/>
    <c:plotArea>
      <c:layout>
        <c:manualLayout>
          <c:layoutTarget val="inner"/>
          <c:xMode val="edge"/>
          <c:yMode val="edge"/>
          <c:x val="9.3399374879897717E-2"/>
          <c:y val="0.12935902744780745"/>
          <c:w val="0.90000650541991445"/>
          <c:h val="0.7711532455405502"/>
        </c:manualLayout>
      </c:layout>
      <c:lineChart>
        <c:grouping val="standard"/>
        <c:varyColors val="0"/>
        <c:ser>
          <c:idx val="1"/>
          <c:order val="0"/>
          <c:tx>
            <c:strRef>
              <c:f>Cert30_100_275_by_month!$M$1</c:f>
              <c:strCache>
                <c:ptCount val="1"/>
                <c:pt idx="0">
                  <c:v>Cumulative number waivered</c:v>
                </c:pt>
              </c:strCache>
            </c:strRef>
          </c:tx>
          <c:spPr>
            <a:ln w="38100"/>
          </c:spPr>
          <c:marker>
            <c:symbol val="none"/>
          </c:marker>
          <c:val>
            <c:numRef>
              <c:f>Cert30_100_275_by_month!$M$2:$M$206</c:f>
              <c:numCache>
                <c:formatCode>0</c:formatCode>
                <c:ptCount val="205"/>
                <c:pt idx="0">
                  <c:v>1</c:v>
                </c:pt>
                <c:pt idx="1">
                  <c:v>3</c:v>
                </c:pt>
                <c:pt idx="2">
                  <c:v>8</c:v>
                </c:pt>
                <c:pt idx="3">
                  <c:v>18</c:v>
                </c:pt>
                <c:pt idx="4">
                  <c:v>23</c:v>
                </c:pt>
                <c:pt idx="5">
                  <c:v>25</c:v>
                </c:pt>
                <c:pt idx="6">
                  <c:v>31</c:v>
                </c:pt>
                <c:pt idx="7">
                  <c:v>34</c:v>
                </c:pt>
                <c:pt idx="8">
                  <c:v>39</c:v>
                </c:pt>
                <c:pt idx="9">
                  <c:v>44</c:v>
                </c:pt>
                <c:pt idx="10">
                  <c:v>47</c:v>
                </c:pt>
                <c:pt idx="11">
                  <c:v>50</c:v>
                </c:pt>
                <c:pt idx="12">
                  <c:v>55</c:v>
                </c:pt>
                <c:pt idx="13">
                  <c:v>56</c:v>
                </c:pt>
                <c:pt idx="14">
                  <c:v>59</c:v>
                </c:pt>
                <c:pt idx="15">
                  <c:v>63</c:v>
                </c:pt>
                <c:pt idx="16">
                  <c:v>91</c:v>
                </c:pt>
                <c:pt idx="17">
                  <c:v>98</c:v>
                </c:pt>
                <c:pt idx="18">
                  <c:v>121</c:v>
                </c:pt>
                <c:pt idx="19">
                  <c:v>128</c:v>
                </c:pt>
                <c:pt idx="20">
                  <c:v>138</c:v>
                </c:pt>
                <c:pt idx="21">
                  <c:v>143</c:v>
                </c:pt>
                <c:pt idx="22">
                  <c:v>157</c:v>
                </c:pt>
                <c:pt idx="23">
                  <c:v>168</c:v>
                </c:pt>
                <c:pt idx="24">
                  <c:v>169</c:v>
                </c:pt>
                <c:pt idx="25">
                  <c:v>177</c:v>
                </c:pt>
                <c:pt idx="26">
                  <c:v>184</c:v>
                </c:pt>
                <c:pt idx="27">
                  <c:v>202</c:v>
                </c:pt>
                <c:pt idx="28">
                  <c:v>206</c:v>
                </c:pt>
                <c:pt idx="29">
                  <c:v>208</c:v>
                </c:pt>
                <c:pt idx="30">
                  <c:v>218</c:v>
                </c:pt>
                <c:pt idx="31">
                  <c:v>222</c:v>
                </c:pt>
                <c:pt idx="32">
                  <c:v>253</c:v>
                </c:pt>
                <c:pt idx="33">
                  <c:v>258</c:v>
                </c:pt>
                <c:pt idx="34">
                  <c:v>262</c:v>
                </c:pt>
                <c:pt idx="35">
                  <c:v>264</c:v>
                </c:pt>
                <c:pt idx="36">
                  <c:v>267</c:v>
                </c:pt>
                <c:pt idx="37">
                  <c:v>272</c:v>
                </c:pt>
                <c:pt idx="38">
                  <c:v>275</c:v>
                </c:pt>
                <c:pt idx="39">
                  <c:v>286</c:v>
                </c:pt>
                <c:pt idx="40">
                  <c:v>309</c:v>
                </c:pt>
                <c:pt idx="41">
                  <c:v>313</c:v>
                </c:pt>
                <c:pt idx="42">
                  <c:v>317</c:v>
                </c:pt>
                <c:pt idx="43">
                  <c:v>322</c:v>
                </c:pt>
                <c:pt idx="44">
                  <c:v>354</c:v>
                </c:pt>
                <c:pt idx="45">
                  <c:v>363</c:v>
                </c:pt>
                <c:pt idx="46">
                  <c:v>370</c:v>
                </c:pt>
                <c:pt idx="47">
                  <c:v>379</c:v>
                </c:pt>
                <c:pt idx="48">
                  <c:v>386</c:v>
                </c:pt>
                <c:pt idx="49">
                  <c:v>393</c:v>
                </c:pt>
                <c:pt idx="50">
                  <c:v>398</c:v>
                </c:pt>
                <c:pt idx="51">
                  <c:v>402</c:v>
                </c:pt>
                <c:pt idx="52">
                  <c:v>427</c:v>
                </c:pt>
                <c:pt idx="53">
                  <c:v>430</c:v>
                </c:pt>
                <c:pt idx="54">
                  <c:v>435</c:v>
                </c:pt>
                <c:pt idx="55">
                  <c:v>442</c:v>
                </c:pt>
                <c:pt idx="56">
                  <c:v>452</c:v>
                </c:pt>
                <c:pt idx="57">
                  <c:v>468</c:v>
                </c:pt>
                <c:pt idx="58">
                  <c:v>471</c:v>
                </c:pt>
                <c:pt idx="59">
                  <c:v>473</c:v>
                </c:pt>
                <c:pt idx="60">
                  <c:v>482</c:v>
                </c:pt>
                <c:pt idx="61">
                  <c:v>486</c:v>
                </c:pt>
                <c:pt idx="62">
                  <c:v>492</c:v>
                </c:pt>
                <c:pt idx="63">
                  <c:v>496</c:v>
                </c:pt>
                <c:pt idx="64">
                  <c:v>522</c:v>
                </c:pt>
                <c:pt idx="65">
                  <c:v>524</c:v>
                </c:pt>
                <c:pt idx="66">
                  <c:v>535</c:v>
                </c:pt>
                <c:pt idx="67">
                  <c:v>544</c:v>
                </c:pt>
                <c:pt idx="68">
                  <c:v>562</c:v>
                </c:pt>
                <c:pt idx="69">
                  <c:v>589</c:v>
                </c:pt>
                <c:pt idx="70">
                  <c:v>596</c:v>
                </c:pt>
                <c:pt idx="71">
                  <c:v>610</c:v>
                </c:pt>
                <c:pt idx="72">
                  <c:v>612</c:v>
                </c:pt>
                <c:pt idx="73">
                  <c:v>618</c:v>
                </c:pt>
                <c:pt idx="74">
                  <c:v>625</c:v>
                </c:pt>
                <c:pt idx="75">
                  <c:v>628</c:v>
                </c:pt>
                <c:pt idx="76">
                  <c:v>633</c:v>
                </c:pt>
                <c:pt idx="77">
                  <c:v>637</c:v>
                </c:pt>
                <c:pt idx="78">
                  <c:v>643</c:v>
                </c:pt>
                <c:pt idx="79">
                  <c:v>655</c:v>
                </c:pt>
                <c:pt idx="80">
                  <c:v>660</c:v>
                </c:pt>
                <c:pt idx="81">
                  <c:v>673</c:v>
                </c:pt>
                <c:pt idx="82">
                  <c:v>683</c:v>
                </c:pt>
                <c:pt idx="83">
                  <c:v>694</c:v>
                </c:pt>
                <c:pt idx="84">
                  <c:v>703</c:v>
                </c:pt>
                <c:pt idx="85">
                  <c:v>713</c:v>
                </c:pt>
                <c:pt idx="86">
                  <c:v>718</c:v>
                </c:pt>
                <c:pt idx="87">
                  <c:v>723</c:v>
                </c:pt>
                <c:pt idx="88">
                  <c:v>728</c:v>
                </c:pt>
                <c:pt idx="89">
                  <c:v>730</c:v>
                </c:pt>
                <c:pt idx="90">
                  <c:v>736</c:v>
                </c:pt>
                <c:pt idx="91">
                  <c:v>751</c:v>
                </c:pt>
                <c:pt idx="92">
                  <c:v>758</c:v>
                </c:pt>
                <c:pt idx="93">
                  <c:v>767</c:v>
                </c:pt>
                <c:pt idx="94">
                  <c:v>787</c:v>
                </c:pt>
                <c:pt idx="95">
                  <c:v>800</c:v>
                </c:pt>
                <c:pt idx="96">
                  <c:v>806</c:v>
                </c:pt>
                <c:pt idx="97">
                  <c:v>815</c:v>
                </c:pt>
                <c:pt idx="98">
                  <c:v>819</c:v>
                </c:pt>
                <c:pt idx="99">
                  <c:v>830</c:v>
                </c:pt>
                <c:pt idx="100">
                  <c:v>842</c:v>
                </c:pt>
                <c:pt idx="101">
                  <c:v>843</c:v>
                </c:pt>
                <c:pt idx="102">
                  <c:v>850</c:v>
                </c:pt>
                <c:pt idx="103">
                  <c:v>865</c:v>
                </c:pt>
                <c:pt idx="104">
                  <c:v>874</c:v>
                </c:pt>
                <c:pt idx="105">
                  <c:v>881</c:v>
                </c:pt>
                <c:pt idx="106">
                  <c:v>897</c:v>
                </c:pt>
                <c:pt idx="107">
                  <c:v>905</c:v>
                </c:pt>
                <c:pt idx="108">
                  <c:v>921</c:v>
                </c:pt>
                <c:pt idx="109">
                  <c:v>928</c:v>
                </c:pt>
                <c:pt idx="110">
                  <c:v>942</c:v>
                </c:pt>
                <c:pt idx="111">
                  <c:v>951</c:v>
                </c:pt>
                <c:pt idx="112">
                  <c:v>956</c:v>
                </c:pt>
                <c:pt idx="113">
                  <c:v>961</c:v>
                </c:pt>
                <c:pt idx="114">
                  <c:v>971</c:v>
                </c:pt>
                <c:pt idx="115">
                  <c:v>981</c:v>
                </c:pt>
                <c:pt idx="116">
                  <c:v>992</c:v>
                </c:pt>
                <c:pt idx="117">
                  <c:v>1016</c:v>
                </c:pt>
                <c:pt idx="118">
                  <c:v>1022</c:v>
                </c:pt>
                <c:pt idx="119">
                  <c:v>1033</c:v>
                </c:pt>
                <c:pt idx="120">
                  <c:v>1051</c:v>
                </c:pt>
                <c:pt idx="121">
                  <c:v>1056</c:v>
                </c:pt>
                <c:pt idx="122">
                  <c:v>1069</c:v>
                </c:pt>
                <c:pt idx="123">
                  <c:v>1084</c:v>
                </c:pt>
                <c:pt idx="124">
                  <c:v>1090</c:v>
                </c:pt>
                <c:pt idx="125">
                  <c:v>1108</c:v>
                </c:pt>
                <c:pt idx="126">
                  <c:v>1115</c:v>
                </c:pt>
                <c:pt idx="127">
                  <c:v>1123</c:v>
                </c:pt>
                <c:pt idx="128">
                  <c:v>1135</c:v>
                </c:pt>
                <c:pt idx="129">
                  <c:v>1151</c:v>
                </c:pt>
                <c:pt idx="130">
                  <c:v>1167</c:v>
                </c:pt>
                <c:pt idx="131">
                  <c:v>1179</c:v>
                </c:pt>
                <c:pt idx="132">
                  <c:v>1187</c:v>
                </c:pt>
                <c:pt idx="133">
                  <c:v>1197</c:v>
                </c:pt>
                <c:pt idx="134">
                  <c:v>1204</c:v>
                </c:pt>
                <c:pt idx="135">
                  <c:v>1222</c:v>
                </c:pt>
                <c:pt idx="136">
                  <c:v>1243</c:v>
                </c:pt>
                <c:pt idx="137">
                  <c:v>1255</c:v>
                </c:pt>
                <c:pt idx="138">
                  <c:v>1267</c:v>
                </c:pt>
                <c:pt idx="139">
                  <c:v>1284</c:v>
                </c:pt>
                <c:pt idx="140">
                  <c:v>1303</c:v>
                </c:pt>
                <c:pt idx="141">
                  <c:v>1322</c:v>
                </c:pt>
                <c:pt idx="142">
                  <c:v>1338</c:v>
                </c:pt>
                <c:pt idx="143">
                  <c:v>1350</c:v>
                </c:pt>
                <c:pt idx="144">
                  <c:v>1361</c:v>
                </c:pt>
                <c:pt idx="145">
                  <c:v>1375</c:v>
                </c:pt>
                <c:pt idx="146">
                  <c:v>1389</c:v>
                </c:pt>
                <c:pt idx="147">
                  <c:v>1409</c:v>
                </c:pt>
                <c:pt idx="148">
                  <c:v>1417</c:v>
                </c:pt>
                <c:pt idx="149">
                  <c:v>1433</c:v>
                </c:pt>
                <c:pt idx="150">
                  <c:v>1448</c:v>
                </c:pt>
                <c:pt idx="151">
                  <c:v>1468</c:v>
                </c:pt>
                <c:pt idx="152">
                  <c:v>1480</c:v>
                </c:pt>
                <c:pt idx="153">
                  <c:v>1499</c:v>
                </c:pt>
                <c:pt idx="154">
                  <c:v>1517</c:v>
                </c:pt>
                <c:pt idx="155">
                  <c:v>1529</c:v>
                </c:pt>
                <c:pt idx="156">
                  <c:v>1538</c:v>
                </c:pt>
                <c:pt idx="157">
                  <c:v>1548</c:v>
                </c:pt>
                <c:pt idx="158">
                  <c:v>1574</c:v>
                </c:pt>
                <c:pt idx="159">
                  <c:v>1588</c:v>
                </c:pt>
                <c:pt idx="160">
                  <c:v>1599</c:v>
                </c:pt>
                <c:pt idx="161">
                  <c:v>1623</c:v>
                </c:pt>
                <c:pt idx="162">
                  <c:v>1652</c:v>
                </c:pt>
                <c:pt idx="163">
                  <c:v>1681</c:v>
                </c:pt>
                <c:pt idx="164">
                  <c:v>1713</c:v>
                </c:pt>
                <c:pt idx="165">
                  <c:v>1773</c:v>
                </c:pt>
                <c:pt idx="166">
                  <c:v>1790</c:v>
                </c:pt>
                <c:pt idx="167">
                  <c:v>1802</c:v>
                </c:pt>
                <c:pt idx="168">
                  <c:v>1825</c:v>
                </c:pt>
                <c:pt idx="169">
                  <c:v>1860</c:v>
                </c:pt>
                <c:pt idx="170">
                  <c:v>1885</c:v>
                </c:pt>
                <c:pt idx="171">
                  <c:v>1924</c:v>
                </c:pt>
                <c:pt idx="172">
                  <c:v>1948</c:v>
                </c:pt>
                <c:pt idx="173">
                  <c:v>1984</c:v>
                </c:pt>
                <c:pt idx="174">
                  <c:v>2022</c:v>
                </c:pt>
                <c:pt idx="175">
                  <c:v>2082</c:v>
                </c:pt>
                <c:pt idx="176">
                  <c:v>2129</c:v>
                </c:pt>
                <c:pt idx="177">
                  <c:v>2177</c:v>
                </c:pt>
                <c:pt idx="178">
                  <c:v>2244</c:v>
                </c:pt>
                <c:pt idx="179">
                  <c:v>2301</c:v>
                </c:pt>
                <c:pt idx="180">
                  <c:v>2358</c:v>
                </c:pt>
                <c:pt idx="181">
                  <c:v>2397</c:v>
                </c:pt>
                <c:pt idx="182">
                  <c:v>2442</c:v>
                </c:pt>
                <c:pt idx="183">
                  <c:v>2492</c:v>
                </c:pt>
                <c:pt idx="184">
                  <c:v>2538</c:v>
                </c:pt>
                <c:pt idx="185">
                  <c:v>2594</c:v>
                </c:pt>
                <c:pt idx="186">
                  <c:v>2665</c:v>
                </c:pt>
                <c:pt idx="187">
                  <c:v>2724</c:v>
                </c:pt>
                <c:pt idx="188">
                  <c:v>2786</c:v>
                </c:pt>
                <c:pt idx="189">
                  <c:v>2828</c:v>
                </c:pt>
                <c:pt idx="190">
                  <c:v>2895</c:v>
                </c:pt>
                <c:pt idx="191">
                  <c:v>2952</c:v>
                </c:pt>
                <c:pt idx="192">
                  <c:v>3032</c:v>
                </c:pt>
                <c:pt idx="193">
                  <c:v>3095</c:v>
                </c:pt>
                <c:pt idx="194">
                  <c:v>3179</c:v>
                </c:pt>
                <c:pt idx="195">
                  <c:v>3303</c:v>
                </c:pt>
                <c:pt idx="196">
                  <c:v>3499</c:v>
                </c:pt>
                <c:pt idx="197">
                  <c:v>3725</c:v>
                </c:pt>
                <c:pt idx="198">
                  <c:v>3884</c:v>
                </c:pt>
                <c:pt idx="199">
                  <c:v>4039</c:v>
                </c:pt>
                <c:pt idx="200">
                  <c:v>4142</c:v>
                </c:pt>
                <c:pt idx="201">
                  <c:v>4263</c:v>
                </c:pt>
                <c:pt idx="202">
                  <c:v>4388</c:v>
                </c:pt>
                <c:pt idx="203">
                  <c:v>4489</c:v>
                </c:pt>
                <c:pt idx="204">
                  <c:v>4558</c:v>
                </c:pt>
              </c:numCache>
            </c:numRef>
          </c:val>
          <c:smooth val="0"/>
          <c:extLst>
            <c:ext xmlns:c16="http://schemas.microsoft.com/office/drawing/2014/chart" uri="{C3380CC4-5D6E-409C-BE32-E72D297353CC}">
              <c16:uniqueId val="{00000000-5A8D-4CE0-874E-2EA0629C898E}"/>
            </c:ext>
          </c:extLst>
        </c:ser>
        <c:dLbls>
          <c:showLegendKey val="0"/>
          <c:showVal val="0"/>
          <c:showCatName val="0"/>
          <c:showSerName val="0"/>
          <c:showPercent val="0"/>
          <c:showBubbleSize val="0"/>
        </c:dLbls>
        <c:smooth val="0"/>
        <c:axId val="363743872"/>
        <c:axId val="363750144"/>
      </c:lineChart>
      <c:catAx>
        <c:axId val="363743872"/>
        <c:scaling>
          <c:orientation val="minMax"/>
        </c:scaling>
        <c:delete val="0"/>
        <c:axPos val="b"/>
        <c:title>
          <c:tx>
            <c:rich>
              <a:bodyPr/>
              <a:lstStyle/>
              <a:p>
                <a:pPr>
                  <a:defRPr/>
                </a:pPr>
                <a:r>
                  <a:rPr lang="en-US" sz="900"/>
                  <a:t>Month (Month 1 = May, 2002</a:t>
                </a:r>
                <a:r>
                  <a:rPr lang="en-US"/>
                  <a:t>)</a:t>
                </a:r>
              </a:p>
            </c:rich>
          </c:tx>
          <c:layout>
            <c:manualLayout>
              <c:xMode val="edge"/>
              <c:yMode val="edge"/>
              <c:x val="0.39029191473017094"/>
              <c:y val="0.94838751062430837"/>
            </c:manualLayout>
          </c:layout>
          <c:overlay val="0"/>
        </c:title>
        <c:majorTickMark val="out"/>
        <c:minorTickMark val="none"/>
        <c:tickLblPos val="nextTo"/>
        <c:crossAx val="363750144"/>
        <c:crosses val="autoZero"/>
        <c:auto val="1"/>
        <c:lblAlgn val="ctr"/>
        <c:lblOffset val="100"/>
        <c:noMultiLvlLbl val="0"/>
      </c:catAx>
      <c:valAx>
        <c:axId val="363750144"/>
        <c:scaling>
          <c:orientation val="minMax"/>
        </c:scaling>
        <c:delete val="0"/>
        <c:axPos val="l"/>
        <c:majorGridlines/>
        <c:title>
          <c:tx>
            <c:rich>
              <a:bodyPr rot="-5400000" vert="horz"/>
              <a:lstStyle/>
              <a:p>
                <a:pPr>
                  <a:defRPr sz="900"/>
                </a:pPr>
                <a:r>
                  <a:rPr lang="en-US" sz="900"/>
                  <a:t>Cumulative number of waivered prescribers</a:t>
                </a:r>
              </a:p>
            </c:rich>
          </c:tx>
          <c:layout>
            <c:manualLayout>
              <c:xMode val="edge"/>
              <c:yMode val="edge"/>
              <c:x val="0"/>
              <c:y val="0.36225703718802321"/>
            </c:manualLayout>
          </c:layout>
          <c:overlay val="0"/>
        </c:title>
        <c:numFmt formatCode="0" sourceLinked="1"/>
        <c:majorTickMark val="out"/>
        <c:minorTickMark val="none"/>
        <c:tickLblPos val="nextTo"/>
        <c:crossAx val="363743872"/>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IV.1b: Diffusion of the Buprenorphine-waiver for 100 Patients in Massachusetts, 2007 - 2019</a:t>
            </a:r>
          </a:p>
        </c:rich>
      </c:tx>
      <c:overlay val="0"/>
    </c:title>
    <c:autoTitleDeleted val="0"/>
    <c:plotArea>
      <c:layout>
        <c:manualLayout>
          <c:layoutTarget val="inner"/>
          <c:xMode val="edge"/>
          <c:yMode val="edge"/>
          <c:x val="8.2415019492037431E-2"/>
          <c:y val="0.12935902744780745"/>
          <c:w val="0.89210738002979117"/>
          <c:h val="0.77722199641119494"/>
        </c:manualLayout>
      </c:layout>
      <c:lineChart>
        <c:grouping val="standard"/>
        <c:varyColors val="0"/>
        <c:ser>
          <c:idx val="0"/>
          <c:order val="0"/>
          <c:spPr>
            <a:ln w="38100"/>
          </c:spPr>
          <c:marker>
            <c:symbol val="none"/>
          </c:marker>
          <c:val>
            <c:numRef>
              <c:f>Cert30_100_275_by_month!$G$55:$G$206</c:f>
              <c:numCache>
                <c:formatCode>0</c:formatCode>
                <c:ptCount val="152"/>
                <c:pt idx="0">
                  <c:v>60</c:v>
                </c:pt>
                <c:pt idx="1">
                  <c:v>85</c:v>
                </c:pt>
                <c:pt idx="2">
                  <c:v>95</c:v>
                </c:pt>
                <c:pt idx="3">
                  <c:v>99</c:v>
                </c:pt>
                <c:pt idx="4">
                  <c:v>100</c:v>
                </c:pt>
                <c:pt idx="5">
                  <c:v>103</c:v>
                </c:pt>
                <c:pt idx="6">
                  <c:v>104</c:v>
                </c:pt>
                <c:pt idx="7">
                  <c:v>106</c:v>
                </c:pt>
                <c:pt idx="8">
                  <c:v>112</c:v>
                </c:pt>
                <c:pt idx="9">
                  <c:v>116</c:v>
                </c:pt>
                <c:pt idx="10">
                  <c:v>119</c:v>
                </c:pt>
                <c:pt idx="11">
                  <c:v>121</c:v>
                </c:pt>
                <c:pt idx="12">
                  <c:v>123</c:v>
                </c:pt>
                <c:pt idx="13">
                  <c:v>125</c:v>
                </c:pt>
                <c:pt idx="14">
                  <c:v>126</c:v>
                </c:pt>
                <c:pt idx="15">
                  <c:v>129</c:v>
                </c:pt>
                <c:pt idx="16">
                  <c:v>131</c:v>
                </c:pt>
                <c:pt idx="17">
                  <c:v>133</c:v>
                </c:pt>
                <c:pt idx="18">
                  <c:v>135</c:v>
                </c:pt>
                <c:pt idx="19">
                  <c:v>136</c:v>
                </c:pt>
                <c:pt idx="20">
                  <c:v>137</c:v>
                </c:pt>
                <c:pt idx="21">
                  <c:v>137</c:v>
                </c:pt>
                <c:pt idx="22">
                  <c:v>141</c:v>
                </c:pt>
                <c:pt idx="23">
                  <c:v>144</c:v>
                </c:pt>
                <c:pt idx="24">
                  <c:v>144</c:v>
                </c:pt>
                <c:pt idx="25">
                  <c:v>146</c:v>
                </c:pt>
                <c:pt idx="26">
                  <c:v>147</c:v>
                </c:pt>
                <c:pt idx="27">
                  <c:v>152</c:v>
                </c:pt>
                <c:pt idx="28">
                  <c:v>154</c:v>
                </c:pt>
                <c:pt idx="29">
                  <c:v>156</c:v>
                </c:pt>
                <c:pt idx="30">
                  <c:v>161</c:v>
                </c:pt>
                <c:pt idx="31">
                  <c:v>166</c:v>
                </c:pt>
                <c:pt idx="32">
                  <c:v>172</c:v>
                </c:pt>
                <c:pt idx="33">
                  <c:v>179</c:v>
                </c:pt>
                <c:pt idx="34">
                  <c:v>181</c:v>
                </c:pt>
                <c:pt idx="35">
                  <c:v>181</c:v>
                </c:pt>
                <c:pt idx="36">
                  <c:v>183</c:v>
                </c:pt>
                <c:pt idx="37">
                  <c:v>185</c:v>
                </c:pt>
                <c:pt idx="38">
                  <c:v>188</c:v>
                </c:pt>
                <c:pt idx="39">
                  <c:v>191</c:v>
                </c:pt>
                <c:pt idx="40">
                  <c:v>192</c:v>
                </c:pt>
                <c:pt idx="41">
                  <c:v>194</c:v>
                </c:pt>
                <c:pt idx="42">
                  <c:v>200</c:v>
                </c:pt>
                <c:pt idx="43">
                  <c:v>206</c:v>
                </c:pt>
                <c:pt idx="44">
                  <c:v>212</c:v>
                </c:pt>
                <c:pt idx="45">
                  <c:v>220</c:v>
                </c:pt>
                <c:pt idx="46">
                  <c:v>224</c:v>
                </c:pt>
                <c:pt idx="47">
                  <c:v>230</c:v>
                </c:pt>
                <c:pt idx="48">
                  <c:v>231</c:v>
                </c:pt>
                <c:pt idx="49">
                  <c:v>232</c:v>
                </c:pt>
                <c:pt idx="50">
                  <c:v>236</c:v>
                </c:pt>
                <c:pt idx="51">
                  <c:v>242</c:v>
                </c:pt>
                <c:pt idx="52">
                  <c:v>254</c:v>
                </c:pt>
                <c:pt idx="53">
                  <c:v>256</c:v>
                </c:pt>
                <c:pt idx="54">
                  <c:v>258</c:v>
                </c:pt>
                <c:pt idx="55">
                  <c:v>263</c:v>
                </c:pt>
                <c:pt idx="56">
                  <c:v>273</c:v>
                </c:pt>
                <c:pt idx="57">
                  <c:v>276</c:v>
                </c:pt>
                <c:pt idx="58">
                  <c:v>284</c:v>
                </c:pt>
                <c:pt idx="59">
                  <c:v>290</c:v>
                </c:pt>
                <c:pt idx="60">
                  <c:v>292</c:v>
                </c:pt>
                <c:pt idx="61">
                  <c:v>294</c:v>
                </c:pt>
                <c:pt idx="62">
                  <c:v>301</c:v>
                </c:pt>
                <c:pt idx="63">
                  <c:v>308</c:v>
                </c:pt>
                <c:pt idx="64">
                  <c:v>316</c:v>
                </c:pt>
                <c:pt idx="65">
                  <c:v>320</c:v>
                </c:pt>
                <c:pt idx="66">
                  <c:v>324</c:v>
                </c:pt>
                <c:pt idx="67">
                  <c:v>325</c:v>
                </c:pt>
                <c:pt idx="68">
                  <c:v>329</c:v>
                </c:pt>
                <c:pt idx="69">
                  <c:v>334</c:v>
                </c:pt>
                <c:pt idx="70">
                  <c:v>337</c:v>
                </c:pt>
                <c:pt idx="71">
                  <c:v>340</c:v>
                </c:pt>
                <c:pt idx="72">
                  <c:v>343</c:v>
                </c:pt>
                <c:pt idx="73">
                  <c:v>349</c:v>
                </c:pt>
                <c:pt idx="74">
                  <c:v>354</c:v>
                </c:pt>
                <c:pt idx="75">
                  <c:v>361</c:v>
                </c:pt>
                <c:pt idx="76">
                  <c:v>368</c:v>
                </c:pt>
                <c:pt idx="77">
                  <c:v>374</c:v>
                </c:pt>
                <c:pt idx="78">
                  <c:v>378</c:v>
                </c:pt>
                <c:pt idx="79">
                  <c:v>384</c:v>
                </c:pt>
                <c:pt idx="80">
                  <c:v>388</c:v>
                </c:pt>
                <c:pt idx="81">
                  <c:v>390</c:v>
                </c:pt>
                <c:pt idx="82">
                  <c:v>391</c:v>
                </c:pt>
                <c:pt idx="83">
                  <c:v>391</c:v>
                </c:pt>
                <c:pt idx="84">
                  <c:v>396</c:v>
                </c:pt>
                <c:pt idx="85">
                  <c:v>401</c:v>
                </c:pt>
                <c:pt idx="86">
                  <c:v>405</c:v>
                </c:pt>
                <c:pt idx="87">
                  <c:v>410</c:v>
                </c:pt>
                <c:pt idx="88">
                  <c:v>416</c:v>
                </c:pt>
                <c:pt idx="89">
                  <c:v>420</c:v>
                </c:pt>
                <c:pt idx="90">
                  <c:v>423</c:v>
                </c:pt>
                <c:pt idx="91">
                  <c:v>429</c:v>
                </c:pt>
                <c:pt idx="92">
                  <c:v>436</c:v>
                </c:pt>
                <c:pt idx="93">
                  <c:v>444</c:v>
                </c:pt>
                <c:pt idx="94">
                  <c:v>449</c:v>
                </c:pt>
                <c:pt idx="95">
                  <c:v>455</c:v>
                </c:pt>
                <c:pt idx="96">
                  <c:v>463</c:v>
                </c:pt>
                <c:pt idx="97">
                  <c:v>469</c:v>
                </c:pt>
                <c:pt idx="98">
                  <c:v>490</c:v>
                </c:pt>
                <c:pt idx="99">
                  <c:v>499</c:v>
                </c:pt>
                <c:pt idx="100">
                  <c:v>514</c:v>
                </c:pt>
                <c:pt idx="101">
                  <c:v>525</c:v>
                </c:pt>
                <c:pt idx="102">
                  <c:v>540</c:v>
                </c:pt>
                <c:pt idx="103">
                  <c:v>548</c:v>
                </c:pt>
                <c:pt idx="104">
                  <c:v>559</c:v>
                </c:pt>
                <c:pt idx="105">
                  <c:v>567</c:v>
                </c:pt>
                <c:pt idx="106">
                  <c:v>582</c:v>
                </c:pt>
                <c:pt idx="107">
                  <c:v>597</c:v>
                </c:pt>
                <c:pt idx="108">
                  <c:v>604</c:v>
                </c:pt>
                <c:pt idx="109">
                  <c:v>612</c:v>
                </c:pt>
                <c:pt idx="110">
                  <c:v>626</c:v>
                </c:pt>
                <c:pt idx="111">
                  <c:v>632</c:v>
                </c:pt>
                <c:pt idx="112">
                  <c:v>640</c:v>
                </c:pt>
                <c:pt idx="113">
                  <c:v>649</c:v>
                </c:pt>
                <c:pt idx="114">
                  <c:v>658</c:v>
                </c:pt>
                <c:pt idx="115">
                  <c:v>661</c:v>
                </c:pt>
                <c:pt idx="116">
                  <c:v>667</c:v>
                </c:pt>
                <c:pt idx="117">
                  <c:v>673</c:v>
                </c:pt>
                <c:pt idx="118">
                  <c:v>687</c:v>
                </c:pt>
                <c:pt idx="119">
                  <c:v>692</c:v>
                </c:pt>
                <c:pt idx="120">
                  <c:v>702</c:v>
                </c:pt>
                <c:pt idx="121">
                  <c:v>706</c:v>
                </c:pt>
                <c:pt idx="122">
                  <c:v>712</c:v>
                </c:pt>
                <c:pt idx="123">
                  <c:v>718</c:v>
                </c:pt>
                <c:pt idx="124">
                  <c:v>725</c:v>
                </c:pt>
                <c:pt idx="125">
                  <c:v>729</c:v>
                </c:pt>
                <c:pt idx="126">
                  <c:v>733</c:v>
                </c:pt>
                <c:pt idx="127">
                  <c:v>740</c:v>
                </c:pt>
                <c:pt idx="128">
                  <c:v>751</c:v>
                </c:pt>
                <c:pt idx="129">
                  <c:v>761</c:v>
                </c:pt>
                <c:pt idx="130">
                  <c:v>768</c:v>
                </c:pt>
                <c:pt idx="131">
                  <c:v>772</c:v>
                </c:pt>
                <c:pt idx="132">
                  <c:v>777</c:v>
                </c:pt>
                <c:pt idx="133">
                  <c:v>786</c:v>
                </c:pt>
                <c:pt idx="134">
                  <c:v>805</c:v>
                </c:pt>
                <c:pt idx="135">
                  <c:v>833</c:v>
                </c:pt>
                <c:pt idx="136">
                  <c:v>850</c:v>
                </c:pt>
                <c:pt idx="137">
                  <c:v>868</c:v>
                </c:pt>
                <c:pt idx="138">
                  <c:v>883</c:v>
                </c:pt>
                <c:pt idx="139">
                  <c:v>903</c:v>
                </c:pt>
                <c:pt idx="140">
                  <c:v>917</c:v>
                </c:pt>
                <c:pt idx="141">
                  <c:v>929</c:v>
                </c:pt>
                <c:pt idx="142">
                  <c:v>936</c:v>
                </c:pt>
                <c:pt idx="143">
                  <c:v>948</c:v>
                </c:pt>
                <c:pt idx="144">
                  <c:v>968</c:v>
                </c:pt>
                <c:pt idx="145">
                  <c:v>982</c:v>
                </c:pt>
                <c:pt idx="146">
                  <c:v>998</c:v>
                </c:pt>
                <c:pt idx="147">
                  <c:v>1004</c:v>
                </c:pt>
                <c:pt idx="148">
                  <c:v>1012</c:v>
                </c:pt>
                <c:pt idx="149">
                  <c:v>1025</c:v>
                </c:pt>
                <c:pt idx="150">
                  <c:v>1033</c:v>
                </c:pt>
                <c:pt idx="151">
                  <c:v>1041</c:v>
                </c:pt>
              </c:numCache>
            </c:numRef>
          </c:val>
          <c:smooth val="0"/>
          <c:extLst>
            <c:ext xmlns:c16="http://schemas.microsoft.com/office/drawing/2014/chart" uri="{C3380CC4-5D6E-409C-BE32-E72D297353CC}">
              <c16:uniqueId val="{00000000-ED83-4EA0-8FAB-978A7706270C}"/>
            </c:ext>
          </c:extLst>
        </c:ser>
        <c:dLbls>
          <c:showLegendKey val="0"/>
          <c:showVal val="0"/>
          <c:showCatName val="0"/>
          <c:showSerName val="0"/>
          <c:showPercent val="0"/>
          <c:showBubbleSize val="0"/>
        </c:dLbls>
        <c:smooth val="0"/>
        <c:axId val="363783680"/>
        <c:axId val="363785600"/>
      </c:lineChart>
      <c:catAx>
        <c:axId val="363783680"/>
        <c:scaling>
          <c:orientation val="minMax"/>
        </c:scaling>
        <c:delete val="0"/>
        <c:axPos val="b"/>
        <c:title>
          <c:tx>
            <c:rich>
              <a:bodyPr/>
              <a:lstStyle/>
              <a:p>
                <a:pPr>
                  <a:defRPr/>
                </a:pPr>
                <a:r>
                  <a:rPr lang="en-US"/>
                  <a:t>Month (Month 1 = January, 2007)</a:t>
                </a:r>
              </a:p>
            </c:rich>
          </c:tx>
          <c:layout>
            <c:manualLayout>
              <c:xMode val="edge"/>
              <c:yMode val="edge"/>
              <c:x val="0.32575662781313619"/>
              <c:y val="0.95513414172298983"/>
            </c:manualLayout>
          </c:layout>
          <c:overlay val="0"/>
        </c:title>
        <c:majorTickMark val="out"/>
        <c:minorTickMark val="none"/>
        <c:tickLblPos val="nextTo"/>
        <c:crossAx val="363785600"/>
        <c:crosses val="autoZero"/>
        <c:auto val="1"/>
        <c:lblAlgn val="ctr"/>
        <c:lblOffset val="100"/>
        <c:noMultiLvlLbl val="0"/>
      </c:catAx>
      <c:valAx>
        <c:axId val="363785600"/>
        <c:scaling>
          <c:orientation val="minMax"/>
        </c:scaling>
        <c:delete val="0"/>
        <c:axPos val="l"/>
        <c:majorGridlines/>
        <c:title>
          <c:tx>
            <c:rich>
              <a:bodyPr rot="-5400000" vert="horz"/>
              <a:lstStyle/>
              <a:p>
                <a:pPr>
                  <a:defRPr/>
                </a:pPr>
                <a:r>
                  <a:rPr lang="en-US"/>
                  <a:t>Cumulartive</a:t>
                </a:r>
                <a:r>
                  <a:rPr lang="en-US" baseline="0"/>
                  <a:t> number of waivered prescribers</a:t>
                </a:r>
                <a:endParaRPr lang="en-US"/>
              </a:p>
            </c:rich>
          </c:tx>
          <c:layout>
            <c:manualLayout>
              <c:xMode val="edge"/>
              <c:yMode val="edge"/>
              <c:x val="2.1651279097359209E-3"/>
              <c:y val="0.31166290935624746"/>
            </c:manualLayout>
          </c:layout>
          <c:overlay val="0"/>
        </c:title>
        <c:numFmt formatCode="0" sourceLinked="1"/>
        <c:majorTickMark val="out"/>
        <c:minorTickMark val="none"/>
        <c:tickLblPos val="nextTo"/>
        <c:crossAx val="363783680"/>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200"/>
              <a:t>Figure IV.1c: Diffusion the Buprenorphine-waiver for 275 Patients</a:t>
            </a:r>
          </a:p>
          <a:p>
            <a:pPr>
              <a:defRPr/>
            </a:pPr>
            <a:r>
              <a:rPr lang="en-US" sz="1200"/>
              <a:t>in Massachusetts, 2016 - 2019</a:t>
            </a:r>
          </a:p>
        </c:rich>
      </c:tx>
      <c:overlay val="0"/>
    </c:title>
    <c:autoTitleDeleted val="0"/>
    <c:plotArea>
      <c:layout/>
      <c:lineChart>
        <c:grouping val="standard"/>
        <c:varyColors val="0"/>
        <c:ser>
          <c:idx val="0"/>
          <c:order val="0"/>
          <c:spPr>
            <a:ln w="38100"/>
          </c:spPr>
          <c:marker>
            <c:symbol val="none"/>
          </c:marker>
          <c:val>
            <c:numRef>
              <c:f>Cert30_100_275_by_month!$H$171:$H$206</c:f>
              <c:numCache>
                <c:formatCode>0</c:formatCode>
                <c:ptCount val="36"/>
                <c:pt idx="0">
                  <c:v>25</c:v>
                </c:pt>
                <c:pt idx="1">
                  <c:v>100</c:v>
                </c:pt>
                <c:pt idx="2">
                  <c:v>125</c:v>
                </c:pt>
                <c:pt idx="3">
                  <c:v>132</c:v>
                </c:pt>
                <c:pt idx="4">
                  <c:v>142</c:v>
                </c:pt>
                <c:pt idx="5">
                  <c:v>147</c:v>
                </c:pt>
                <c:pt idx="6">
                  <c:v>154</c:v>
                </c:pt>
                <c:pt idx="7">
                  <c:v>160</c:v>
                </c:pt>
                <c:pt idx="8">
                  <c:v>162</c:v>
                </c:pt>
                <c:pt idx="9">
                  <c:v>171</c:v>
                </c:pt>
                <c:pt idx="10">
                  <c:v>180</c:v>
                </c:pt>
                <c:pt idx="11">
                  <c:v>181</c:v>
                </c:pt>
                <c:pt idx="12">
                  <c:v>184</c:v>
                </c:pt>
                <c:pt idx="13">
                  <c:v>184</c:v>
                </c:pt>
                <c:pt idx="14">
                  <c:v>190</c:v>
                </c:pt>
                <c:pt idx="15">
                  <c:v>195</c:v>
                </c:pt>
                <c:pt idx="16">
                  <c:v>197</c:v>
                </c:pt>
                <c:pt idx="17">
                  <c:v>199</c:v>
                </c:pt>
                <c:pt idx="18">
                  <c:v>205</c:v>
                </c:pt>
                <c:pt idx="19">
                  <c:v>206</c:v>
                </c:pt>
                <c:pt idx="20">
                  <c:v>215</c:v>
                </c:pt>
                <c:pt idx="21">
                  <c:v>219</c:v>
                </c:pt>
                <c:pt idx="22">
                  <c:v>222</c:v>
                </c:pt>
                <c:pt idx="23">
                  <c:v>229</c:v>
                </c:pt>
                <c:pt idx="24">
                  <c:v>232</c:v>
                </c:pt>
                <c:pt idx="25">
                  <c:v>237</c:v>
                </c:pt>
                <c:pt idx="26">
                  <c:v>240</c:v>
                </c:pt>
                <c:pt idx="27">
                  <c:v>244</c:v>
                </c:pt>
                <c:pt idx="28">
                  <c:v>245</c:v>
                </c:pt>
                <c:pt idx="29">
                  <c:v>255</c:v>
                </c:pt>
                <c:pt idx="30">
                  <c:v>258</c:v>
                </c:pt>
                <c:pt idx="31">
                  <c:v>263</c:v>
                </c:pt>
                <c:pt idx="32">
                  <c:v>266</c:v>
                </c:pt>
                <c:pt idx="33">
                  <c:v>269</c:v>
                </c:pt>
                <c:pt idx="34">
                  <c:v>273</c:v>
                </c:pt>
                <c:pt idx="35">
                  <c:v>273</c:v>
                </c:pt>
              </c:numCache>
            </c:numRef>
          </c:val>
          <c:smooth val="0"/>
          <c:extLst>
            <c:ext xmlns:c16="http://schemas.microsoft.com/office/drawing/2014/chart" uri="{C3380CC4-5D6E-409C-BE32-E72D297353CC}">
              <c16:uniqueId val="{00000000-2E18-469E-806A-50060C487B9D}"/>
            </c:ext>
          </c:extLst>
        </c:ser>
        <c:dLbls>
          <c:showLegendKey val="0"/>
          <c:showVal val="0"/>
          <c:showCatName val="0"/>
          <c:showSerName val="0"/>
          <c:showPercent val="0"/>
          <c:showBubbleSize val="0"/>
        </c:dLbls>
        <c:smooth val="0"/>
        <c:axId val="367620480"/>
        <c:axId val="367622400"/>
      </c:lineChart>
      <c:catAx>
        <c:axId val="367620480"/>
        <c:scaling>
          <c:orientation val="minMax"/>
        </c:scaling>
        <c:delete val="0"/>
        <c:axPos val="b"/>
        <c:title>
          <c:tx>
            <c:rich>
              <a:bodyPr/>
              <a:lstStyle/>
              <a:p>
                <a:pPr>
                  <a:defRPr/>
                </a:pPr>
                <a:r>
                  <a:rPr lang="en-US"/>
                  <a:t>Month (Month 1 = September, 2016)</a:t>
                </a:r>
              </a:p>
            </c:rich>
          </c:tx>
          <c:overlay val="0"/>
        </c:title>
        <c:majorTickMark val="out"/>
        <c:minorTickMark val="none"/>
        <c:tickLblPos val="nextTo"/>
        <c:crossAx val="367622400"/>
        <c:crosses val="autoZero"/>
        <c:auto val="1"/>
        <c:lblAlgn val="ctr"/>
        <c:lblOffset val="100"/>
        <c:noMultiLvlLbl val="0"/>
      </c:catAx>
      <c:valAx>
        <c:axId val="367622400"/>
        <c:scaling>
          <c:orientation val="minMax"/>
        </c:scaling>
        <c:delete val="0"/>
        <c:axPos val="l"/>
        <c:majorGridlines/>
        <c:title>
          <c:tx>
            <c:rich>
              <a:bodyPr rot="-5400000" vert="horz"/>
              <a:lstStyle/>
              <a:p>
                <a:pPr>
                  <a:defRPr/>
                </a:pPr>
                <a:r>
                  <a:rPr lang="en-US"/>
                  <a:t>Cumulative number of waivered prescribers</a:t>
                </a:r>
              </a:p>
            </c:rich>
          </c:tx>
          <c:layout>
            <c:manualLayout>
              <c:xMode val="edge"/>
              <c:yMode val="edge"/>
              <c:x val="9.6179435836191152E-3"/>
              <c:y val="0.23314456035767511"/>
            </c:manualLayout>
          </c:layout>
          <c:overlay val="0"/>
        </c:title>
        <c:numFmt formatCode="0" sourceLinked="1"/>
        <c:majorTickMark val="out"/>
        <c:minorTickMark val="none"/>
        <c:tickLblPos val="nextTo"/>
        <c:crossAx val="3676204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 that became 275-waivered in 2019</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0</c:v>
                </c:pt>
                <c:pt idx="1">
                  <c:v>1</c:v>
                </c:pt>
                <c:pt idx="2">
                  <c:v>2</c:v>
                </c:pt>
                <c:pt idx="3">
                  <c:v>3</c:v>
                </c:pt>
                <c:pt idx="4">
                  <c:v>4</c:v>
                </c:pt>
                <c:pt idx="5">
                  <c:v>5</c:v>
                </c:pt>
                <c:pt idx="6">
                  <c:v>6</c:v>
                </c:pt>
                <c:pt idx="7">
                  <c:v>7</c:v>
                </c:pt>
                <c:pt idx="8">
                  <c:v>8+</c:v>
                </c:pt>
              </c:strCache>
            </c:strRef>
          </c:cat>
          <c:val>
            <c:numRef>
              <c:f>Sheet1!$B$2:$B$10</c:f>
              <c:numCache>
                <c:formatCode>0.0</c:formatCode>
                <c:ptCount val="9"/>
                <c:pt idx="0">
                  <c:v>4.7</c:v>
                </c:pt>
                <c:pt idx="1">
                  <c:v>7.2</c:v>
                </c:pt>
                <c:pt idx="2">
                  <c:v>10.6</c:v>
                </c:pt>
                <c:pt idx="3">
                  <c:v>7.1</c:v>
                </c:pt>
                <c:pt idx="4">
                  <c:v>16.100000000000001</c:v>
                </c:pt>
                <c:pt idx="5">
                  <c:v>18.2</c:v>
                </c:pt>
                <c:pt idx="6">
                  <c:v>18.8</c:v>
                </c:pt>
                <c:pt idx="7">
                  <c:v>25</c:v>
                </c:pt>
                <c:pt idx="8">
                  <c:v>28.6</c:v>
                </c:pt>
              </c:numCache>
            </c:numRef>
          </c:val>
          <c:extLst>
            <c:ext xmlns:c16="http://schemas.microsoft.com/office/drawing/2014/chart" uri="{C3380CC4-5D6E-409C-BE32-E72D297353CC}">
              <c16:uniqueId val="{00000000-F9AE-41EF-AEC1-E7E94D2780A5}"/>
            </c:ext>
          </c:extLst>
        </c:ser>
        <c:dLbls>
          <c:dLblPos val="outEnd"/>
          <c:showLegendKey val="0"/>
          <c:showVal val="1"/>
          <c:showCatName val="0"/>
          <c:showSerName val="0"/>
          <c:showPercent val="0"/>
          <c:showBubbleSize val="0"/>
        </c:dLbls>
        <c:gapWidth val="150"/>
        <c:axId val="381000704"/>
        <c:axId val="390165632"/>
      </c:barChart>
      <c:catAx>
        <c:axId val="381000704"/>
        <c:scaling>
          <c:orientation val="minMax"/>
        </c:scaling>
        <c:delete val="0"/>
        <c:axPos val="b"/>
        <c:title>
          <c:tx>
            <c:rich>
              <a:bodyPr/>
              <a:lstStyle/>
              <a:p>
                <a:pPr>
                  <a:defRPr/>
                </a:pPr>
                <a:r>
                  <a:rPr lang="en-US"/>
                  <a:t>Number of shared patient ties</a:t>
                </a:r>
              </a:p>
            </c:rich>
          </c:tx>
          <c:overlay val="0"/>
        </c:title>
        <c:numFmt formatCode="General" sourceLinked="0"/>
        <c:majorTickMark val="out"/>
        <c:minorTickMark val="none"/>
        <c:tickLblPos val="nextTo"/>
        <c:crossAx val="390165632"/>
        <c:crosses val="autoZero"/>
        <c:auto val="1"/>
        <c:lblAlgn val="ctr"/>
        <c:lblOffset val="100"/>
        <c:noMultiLvlLbl val="0"/>
      </c:catAx>
      <c:valAx>
        <c:axId val="390165632"/>
        <c:scaling>
          <c:orientation val="minMax"/>
        </c:scaling>
        <c:delete val="0"/>
        <c:axPos val="l"/>
        <c:majorGridlines/>
        <c:title>
          <c:tx>
            <c:rich>
              <a:bodyPr rot="-5400000" vert="horz"/>
              <a:lstStyle/>
              <a:p>
                <a:pPr>
                  <a:defRPr/>
                </a:pPr>
                <a:r>
                  <a:rPr lang="en-US"/>
                  <a:t>Percent that became 275-waivered in 2019</a:t>
                </a:r>
              </a:p>
            </c:rich>
          </c:tx>
          <c:overlay val="0"/>
        </c:title>
        <c:numFmt formatCode="0.0" sourceLinked="1"/>
        <c:majorTickMark val="out"/>
        <c:minorTickMark val="none"/>
        <c:tickLblPos val="nextTo"/>
        <c:crossAx val="381000704"/>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0.79596</cdr:x>
      <cdr:y>0.22257</cdr:y>
    </cdr:from>
    <cdr:to>
      <cdr:x>0.79596</cdr:x>
      <cdr:y>0.89799</cdr:y>
    </cdr:to>
    <cdr:cxnSp macro="">
      <cdr:nvCxnSpPr>
        <cdr:cNvPr id="3" name="Straight Connector 2"/>
        <cdr:cNvCxnSpPr/>
      </cdr:nvCxnSpPr>
      <cdr:spPr>
        <a:xfrm xmlns:a="http://schemas.openxmlformats.org/drawingml/2006/main" flipV="1">
          <a:off x="6900765" y="1399592"/>
          <a:ext cx="0" cy="4247372"/>
        </a:xfrm>
        <a:prstGeom xmlns:a="http://schemas.openxmlformats.org/drawingml/2006/main" prst="line">
          <a:avLst/>
        </a:prstGeom>
        <a:ln xmlns:a="http://schemas.openxmlformats.org/drawingml/2006/main" w="158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0.57343</cdr:x>
      <cdr:y>0.21385</cdr:y>
    </cdr:from>
    <cdr:to>
      <cdr:x>0.82286</cdr:x>
      <cdr:y>0.27108</cdr:y>
    </cdr:to>
    <cdr:sp macro="" textlink="">
      <cdr:nvSpPr>
        <cdr:cNvPr id="4" name="TextBox 3"/>
        <cdr:cNvSpPr txBox="1"/>
      </cdr:nvSpPr>
      <cdr:spPr>
        <a:xfrm xmlns:a="http://schemas.openxmlformats.org/drawingml/2006/main">
          <a:off x="3045567" y="800100"/>
          <a:ext cx="1324758" cy="2141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Beginning of 2016</a:t>
          </a:r>
        </a:p>
      </cdr:txBody>
    </cdr:sp>
  </cdr:relSizeAnchor>
</c:userShapes>
</file>

<file path=word/drawings/drawing2.xml><?xml version="1.0" encoding="utf-8"?>
<c:userShapes xmlns:c="http://schemas.openxmlformats.org/drawingml/2006/chart">
  <cdr:relSizeAnchor xmlns:cdr="http://schemas.openxmlformats.org/drawingml/2006/chartDrawing">
    <cdr:from>
      <cdr:x>0.69843</cdr:x>
      <cdr:y>0.21484</cdr:y>
    </cdr:from>
    <cdr:to>
      <cdr:x>0.70628</cdr:x>
      <cdr:y>0.90726</cdr:y>
    </cdr:to>
    <cdr:cxnSp macro="">
      <cdr:nvCxnSpPr>
        <cdr:cNvPr id="3" name="Straight Connector 2"/>
        <cdr:cNvCxnSpPr/>
      </cdr:nvCxnSpPr>
      <cdr:spPr>
        <a:xfrm xmlns:a="http://schemas.openxmlformats.org/drawingml/2006/main" flipV="1">
          <a:off x="6055179" y="1350995"/>
          <a:ext cx="68035" cy="4354286"/>
        </a:xfrm>
        <a:prstGeom xmlns:a="http://schemas.openxmlformats.org/drawingml/2006/main" prst="line">
          <a:avLst/>
        </a:prstGeom>
        <a:ln xmlns:a="http://schemas.openxmlformats.org/drawingml/2006/main" w="158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0.39057</cdr:x>
      <cdr:y>0.26305</cdr:y>
    </cdr:from>
    <cdr:to>
      <cdr:x>0.68498</cdr:x>
      <cdr:y>0.42346</cdr:y>
    </cdr:to>
    <cdr:sp macro="" textlink="">
      <cdr:nvSpPr>
        <cdr:cNvPr id="4" name="TextBox 3"/>
        <cdr:cNvSpPr txBox="1"/>
      </cdr:nvSpPr>
      <cdr:spPr>
        <a:xfrm xmlns:a="http://schemas.openxmlformats.org/drawingml/2006/main">
          <a:off x="2061713" y="1066382"/>
          <a:ext cx="1554128" cy="650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One year prior to beginning</a:t>
          </a:r>
          <a:r>
            <a:rPr lang="en-US" sz="900" baseline="0"/>
            <a:t> of waiver for 275 patients (September, 2015)</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FF12-C559-4F4F-968A-5006D3D8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16310</Words>
  <Characters>92970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Kathleen Skarin</cp:lastModifiedBy>
  <cp:revision>2</cp:revision>
  <cp:lastPrinted>2021-04-16T21:35:00Z</cp:lastPrinted>
  <dcterms:created xsi:type="dcterms:W3CDTF">2022-03-18T16:49:00Z</dcterms:created>
  <dcterms:modified xsi:type="dcterms:W3CDTF">2022-03-18T16:49:00Z</dcterms:modified>
</cp:coreProperties>
</file>